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2E" w:rsidRDefault="00E4212E">
      <w:pPr>
        <w:pStyle w:val="GvdeMetni"/>
        <w:rPr>
          <w:sz w:val="20"/>
        </w:rPr>
      </w:pPr>
    </w:p>
    <w:p w:rsidR="00E4212E" w:rsidRDefault="00E4212E">
      <w:pPr>
        <w:pStyle w:val="GvdeMetni"/>
        <w:rPr>
          <w:sz w:val="20"/>
        </w:rPr>
      </w:pPr>
    </w:p>
    <w:p w:rsidR="00E4212E" w:rsidRDefault="00E4212E">
      <w:pPr>
        <w:pStyle w:val="GvdeMetni"/>
        <w:rPr>
          <w:sz w:val="20"/>
        </w:rPr>
      </w:pPr>
    </w:p>
    <w:p w:rsidR="00E4212E" w:rsidRDefault="00E4212E">
      <w:pPr>
        <w:pStyle w:val="GvdeMetni"/>
        <w:spacing w:before="132" w:after="1"/>
        <w:rPr>
          <w:sz w:val="20"/>
        </w:rPr>
      </w:pPr>
    </w:p>
    <w:p w:rsidR="00E4212E" w:rsidRDefault="00466F9C">
      <w:pPr>
        <w:pStyle w:val="GvdeMetni"/>
        <w:ind w:left="3325"/>
        <w:rPr>
          <w:sz w:val="20"/>
        </w:rPr>
      </w:pPr>
      <w:r>
        <w:rPr>
          <w:noProof/>
          <w:sz w:val="20"/>
          <w:lang w:eastAsia="tr-TR"/>
        </w:rPr>
        <w:drawing>
          <wp:inline distT="0" distB="0" distL="0" distR="0">
            <wp:extent cx="1599409" cy="1569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99409" cy="1569720"/>
                    </a:xfrm>
                    <a:prstGeom prst="rect">
                      <a:avLst/>
                    </a:prstGeom>
                  </pic:spPr>
                </pic:pic>
              </a:graphicData>
            </a:graphic>
          </wp:inline>
        </w:drawing>
      </w:r>
    </w:p>
    <w:p w:rsidR="00E4212E" w:rsidRDefault="00E4212E">
      <w:pPr>
        <w:pStyle w:val="GvdeMetni"/>
        <w:rPr>
          <w:sz w:val="27"/>
        </w:rPr>
      </w:pPr>
    </w:p>
    <w:p w:rsidR="00E4212E" w:rsidRDefault="00E4212E">
      <w:pPr>
        <w:pStyle w:val="GvdeMetni"/>
        <w:rPr>
          <w:sz w:val="27"/>
        </w:rPr>
      </w:pPr>
    </w:p>
    <w:p w:rsidR="00E4212E" w:rsidRDefault="00E4212E">
      <w:pPr>
        <w:pStyle w:val="GvdeMetni"/>
        <w:rPr>
          <w:sz w:val="27"/>
        </w:rPr>
      </w:pPr>
    </w:p>
    <w:p w:rsidR="00E4212E" w:rsidRDefault="00E4212E">
      <w:pPr>
        <w:pStyle w:val="GvdeMetni"/>
        <w:spacing w:before="142"/>
        <w:rPr>
          <w:sz w:val="27"/>
        </w:rPr>
      </w:pPr>
    </w:p>
    <w:p w:rsidR="00E4212E" w:rsidRDefault="00466F9C">
      <w:pPr>
        <w:spacing w:before="1"/>
        <w:ind w:left="1182"/>
        <w:rPr>
          <w:sz w:val="27"/>
        </w:rPr>
      </w:pPr>
      <w:r>
        <w:rPr>
          <w:sz w:val="27"/>
        </w:rPr>
        <w:t xml:space="preserve">T.C. NİĞDE ÖMER HALİSDEMİR </w:t>
      </w:r>
      <w:r>
        <w:rPr>
          <w:spacing w:val="-2"/>
          <w:sz w:val="27"/>
        </w:rPr>
        <w:t>ÜNİVERSİTESİ</w:t>
      </w:r>
    </w:p>
    <w:p w:rsidR="00E4212E" w:rsidRDefault="00E4212E">
      <w:pPr>
        <w:pStyle w:val="GvdeMetni"/>
        <w:rPr>
          <w:sz w:val="27"/>
        </w:rPr>
      </w:pPr>
    </w:p>
    <w:p w:rsidR="00E4212E" w:rsidRDefault="00E4212E">
      <w:pPr>
        <w:pStyle w:val="GvdeMetni"/>
        <w:spacing w:before="269"/>
        <w:rPr>
          <w:sz w:val="27"/>
        </w:rPr>
      </w:pPr>
    </w:p>
    <w:p w:rsidR="00E4212E" w:rsidRPr="003F6AB6" w:rsidRDefault="003F6AB6">
      <w:pPr>
        <w:pStyle w:val="GvdeMetni"/>
        <w:rPr>
          <w:sz w:val="25"/>
          <w:szCs w:val="25"/>
        </w:rPr>
      </w:pPr>
      <w:r w:rsidRPr="003F6AB6">
        <w:rPr>
          <w:sz w:val="25"/>
          <w:szCs w:val="25"/>
        </w:rPr>
        <w:t>ATATÜRK İLKELERİ VE İNKILAP TARİHİ ARAŞTIRMA VE UYGULAMA MERKEZİ</w:t>
      </w:r>
    </w:p>
    <w:p w:rsidR="00E4212E" w:rsidRDefault="00E4212E">
      <w:pPr>
        <w:pStyle w:val="GvdeMetni"/>
        <w:rPr>
          <w:sz w:val="27"/>
        </w:rPr>
      </w:pPr>
    </w:p>
    <w:p w:rsidR="00E4212E" w:rsidRDefault="00E4212E">
      <w:pPr>
        <w:pStyle w:val="GvdeMetni"/>
        <w:spacing w:before="102"/>
        <w:rPr>
          <w:sz w:val="27"/>
        </w:rPr>
      </w:pPr>
    </w:p>
    <w:p w:rsidR="00E4212E" w:rsidRDefault="00466F9C">
      <w:pPr>
        <w:pStyle w:val="KonuBal"/>
        <w:spacing w:before="1"/>
      </w:pPr>
      <w:r>
        <w:t>İYİLEŞTİRME</w:t>
      </w:r>
      <w:r>
        <w:rPr>
          <w:spacing w:val="1"/>
        </w:rPr>
        <w:t xml:space="preserve"> </w:t>
      </w:r>
      <w:r>
        <w:rPr>
          <w:spacing w:val="-2"/>
        </w:rPr>
        <w:t>RAPORLARI</w:t>
      </w:r>
    </w:p>
    <w:p w:rsidR="00E4212E" w:rsidRDefault="00E4212E">
      <w:pPr>
        <w:pStyle w:val="GvdeMetni"/>
        <w:rPr>
          <w:b/>
          <w:sz w:val="27"/>
        </w:rPr>
      </w:pPr>
    </w:p>
    <w:p w:rsidR="00E4212E" w:rsidRDefault="00E4212E">
      <w:pPr>
        <w:pStyle w:val="GvdeMetni"/>
        <w:rPr>
          <w:b/>
          <w:sz w:val="27"/>
        </w:rPr>
      </w:pPr>
    </w:p>
    <w:p w:rsidR="00E4212E" w:rsidRDefault="00E4212E">
      <w:pPr>
        <w:pStyle w:val="GvdeMetni"/>
        <w:spacing w:before="165"/>
        <w:rPr>
          <w:b/>
          <w:sz w:val="27"/>
        </w:rPr>
      </w:pPr>
    </w:p>
    <w:p w:rsidR="00E4212E" w:rsidRDefault="00466F9C">
      <w:pPr>
        <w:pStyle w:val="KonuBal"/>
      </w:pPr>
      <w:r>
        <w:rPr>
          <w:spacing w:val="-4"/>
        </w:rPr>
        <w:t>2025</w:t>
      </w:r>
    </w:p>
    <w:p w:rsidR="00E4212E" w:rsidRDefault="00E4212E">
      <w:pPr>
        <w:pStyle w:val="KonuBal"/>
        <w:sectPr w:rsidR="00E4212E">
          <w:type w:val="continuous"/>
          <w:pgSz w:w="11910" w:h="16840"/>
          <w:pgMar w:top="1940" w:right="992" w:bottom="280" w:left="1275" w:header="708" w:footer="708" w:gutter="0"/>
          <w:cols w:space="708"/>
        </w:sectPr>
      </w:pPr>
    </w:p>
    <w:p w:rsidR="00E4212E" w:rsidRDefault="00E4212E">
      <w:pPr>
        <w:pStyle w:val="GvdeMetni"/>
        <w:spacing w:before="146"/>
        <w:rPr>
          <w:b/>
        </w:rPr>
      </w:pPr>
    </w:p>
    <w:p w:rsidR="00E4212E" w:rsidRDefault="00466F9C">
      <w:pPr>
        <w:pStyle w:val="Balk1"/>
        <w:numPr>
          <w:ilvl w:val="0"/>
          <w:numId w:val="1"/>
        </w:numPr>
        <w:tabs>
          <w:tab w:val="left" w:pos="306"/>
        </w:tabs>
        <w:ind w:left="306" w:hanging="233"/>
      </w:pPr>
      <w:r>
        <w:t>İYİLEŞTİRME</w:t>
      </w:r>
      <w:r>
        <w:rPr>
          <w:spacing w:val="9"/>
        </w:rPr>
        <w:t xml:space="preserve"> </w:t>
      </w:r>
      <w:r>
        <w:t>RAPOR</w:t>
      </w:r>
      <w:r>
        <w:rPr>
          <w:spacing w:val="10"/>
        </w:rPr>
        <w:t xml:space="preserve"> </w:t>
      </w:r>
      <w:r>
        <w:t>RAPORU</w:t>
      </w:r>
      <w:r>
        <w:rPr>
          <w:spacing w:val="10"/>
        </w:rPr>
        <w:t xml:space="preserve"> </w:t>
      </w:r>
      <w:r>
        <w:t>/</w:t>
      </w:r>
      <w:r>
        <w:rPr>
          <w:spacing w:val="-17"/>
        </w:rPr>
        <w:t xml:space="preserve"> </w:t>
      </w:r>
      <w:r>
        <w:rPr>
          <w:spacing w:val="-4"/>
        </w:rPr>
        <w:t>2025</w:t>
      </w:r>
    </w:p>
    <w:p w:rsidR="00E4212E" w:rsidRDefault="00E4212E">
      <w:pPr>
        <w:pStyle w:val="GvdeMetni"/>
        <w:rPr>
          <w:b/>
        </w:rPr>
      </w:pPr>
    </w:p>
    <w:p w:rsidR="00E4212E" w:rsidRDefault="00E4212E">
      <w:pPr>
        <w:pStyle w:val="GvdeMetni"/>
        <w:spacing w:before="211"/>
        <w:rPr>
          <w:b/>
        </w:rPr>
      </w:pPr>
    </w:p>
    <w:p w:rsidR="00466F9C" w:rsidRPr="00466F9C" w:rsidRDefault="00466F9C" w:rsidP="00466F9C">
      <w:pPr>
        <w:widowControl/>
        <w:autoSpaceDE/>
        <w:autoSpaceDN/>
        <w:spacing w:before="100" w:beforeAutospacing="1" w:after="100" w:afterAutospacing="1"/>
        <w:outlineLvl w:val="2"/>
        <w:rPr>
          <w:b/>
          <w:bCs/>
          <w:sz w:val="27"/>
          <w:szCs w:val="27"/>
          <w:lang w:eastAsia="tr-TR"/>
        </w:rPr>
      </w:pPr>
      <w:r w:rsidRPr="00466F9C">
        <w:rPr>
          <w:b/>
          <w:bCs/>
          <w:sz w:val="27"/>
          <w:szCs w:val="27"/>
          <w:lang w:eastAsia="tr-TR"/>
        </w:rPr>
        <w:t>1.1 Raporun Amacı ve Kapsamı</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 xml:space="preserve">Bu raporun amacı, Niğde Ömer </w:t>
      </w:r>
      <w:proofErr w:type="spellStart"/>
      <w:r w:rsidRPr="00466F9C">
        <w:rPr>
          <w:sz w:val="24"/>
          <w:szCs w:val="24"/>
          <w:lang w:eastAsia="tr-TR"/>
        </w:rPr>
        <w:t>Halisdemir</w:t>
      </w:r>
      <w:proofErr w:type="spellEnd"/>
      <w:r w:rsidRPr="00466F9C">
        <w:rPr>
          <w:sz w:val="24"/>
          <w:szCs w:val="24"/>
          <w:lang w:eastAsia="tr-TR"/>
        </w:rPr>
        <w:t xml:space="preserve"> Üniversitesi Atatürk İlkeleri ve İnkılap Tarihi Araştırma ve Uygulama Merkezinin </w:t>
      </w:r>
      <w:proofErr w:type="gramStart"/>
      <w:r w:rsidRPr="00466F9C">
        <w:rPr>
          <w:sz w:val="24"/>
          <w:szCs w:val="24"/>
          <w:lang w:eastAsia="tr-TR"/>
        </w:rPr>
        <w:t>misyonu</w:t>
      </w:r>
      <w:proofErr w:type="gramEnd"/>
      <w:r w:rsidRPr="00466F9C">
        <w:rPr>
          <w:sz w:val="24"/>
          <w:szCs w:val="24"/>
          <w:lang w:eastAsia="tr-TR"/>
        </w:rPr>
        <w:t>, vizyonu ve stratejik hedefleri doğrultusunda 2025 yılı içerisinde gerçekleştirilen iyileştirme faaliyetlerini değerlendirmek, bu faaliyetlerin etkinliğini ortaya koymak ve sürdürülebilir gelişim için bir yol haritası oluşturmaktır.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 xml:space="preserve">Rapor; merkezin akademik faaliyetlerinin geliştirilmesi, Atatürk ilke ve inkılaplarının bilimsel yöntemlerle araştırılması ve topluma aktarılması, üniversite bünyesinde ve dışında gerçekleştirilen bilimsel etkinliklerin artırılması ile araştırma ve eğitim faaliyetlerinin niteliğinin yükseltilmesine yönelik olarak </w:t>
      </w:r>
      <w:r w:rsidRPr="00466F9C">
        <w:rPr>
          <w:bCs/>
          <w:sz w:val="24"/>
          <w:szCs w:val="24"/>
          <w:lang w:eastAsia="tr-TR"/>
        </w:rPr>
        <w:t>araştırma, eğitim-öğretim ve topluma hizmet</w:t>
      </w:r>
      <w:r w:rsidRPr="00466F9C">
        <w:rPr>
          <w:sz w:val="24"/>
          <w:szCs w:val="24"/>
          <w:lang w:eastAsia="tr-TR"/>
        </w:rPr>
        <w:t xml:space="preserve"> alanlarında gerçekleştirilen iyileştirme çalışmalarını kapsamaktadır.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Bu kapsamda yürütülen faaliyetler; mevcut durum analizi, gerçekleştirilen iyileştirme çalışmaları ve elde edilen kazanımlar çerçevesinde ele alınmış olup, merkezin Atatürk ilke ve inkılaplarının doğru anlaşılması, akademik çalışmaların desteklenmesi ve toplumsal farkındalığın artırılmasına katkı sağlayacak şekilde bütüncül bir yaklaşımla sunulmuştur.</w:t>
      </w:r>
    </w:p>
    <w:p w:rsidR="00466F9C" w:rsidRPr="00466F9C" w:rsidRDefault="00466F9C" w:rsidP="00466F9C">
      <w:pPr>
        <w:widowControl/>
        <w:autoSpaceDE/>
        <w:autoSpaceDN/>
        <w:rPr>
          <w:sz w:val="24"/>
          <w:szCs w:val="24"/>
          <w:lang w:eastAsia="tr-TR"/>
        </w:rPr>
      </w:pPr>
      <w:r w:rsidRPr="00466F9C">
        <w:rPr>
          <w:sz w:val="24"/>
          <w:szCs w:val="24"/>
          <w:lang w:eastAsia="tr-TR"/>
        </w:rPr>
        <w:pict>
          <v:rect id="_x0000_i1025" style="width:0;height:1.5pt" o:hralign="center" o:hrstd="t" o:hr="t" fillcolor="#a0a0a0" stroked="f"/>
        </w:pict>
      </w:r>
    </w:p>
    <w:p w:rsidR="00466F9C" w:rsidRPr="00466F9C" w:rsidRDefault="00466F9C" w:rsidP="00466F9C">
      <w:pPr>
        <w:widowControl/>
        <w:autoSpaceDE/>
        <w:autoSpaceDN/>
        <w:spacing w:before="100" w:beforeAutospacing="1" w:after="100" w:afterAutospacing="1"/>
        <w:outlineLvl w:val="2"/>
        <w:rPr>
          <w:b/>
          <w:bCs/>
          <w:sz w:val="27"/>
          <w:szCs w:val="27"/>
          <w:lang w:eastAsia="tr-TR"/>
        </w:rPr>
      </w:pPr>
      <w:r w:rsidRPr="00466F9C">
        <w:rPr>
          <w:b/>
          <w:bCs/>
          <w:sz w:val="27"/>
          <w:szCs w:val="27"/>
          <w:lang w:eastAsia="tr-TR"/>
        </w:rPr>
        <w:t>1.2 Değerlendirme</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 xml:space="preserve">2025 yılı içerisinde Niğde Ömer </w:t>
      </w:r>
      <w:proofErr w:type="spellStart"/>
      <w:r w:rsidRPr="00466F9C">
        <w:rPr>
          <w:sz w:val="24"/>
          <w:szCs w:val="24"/>
          <w:lang w:eastAsia="tr-TR"/>
        </w:rPr>
        <w:t>Halisdemir</w:t>
      </w:r>
      <w:proofErr w:type="spellEnd"/>
      <w:r w:rsidRPr="00466F9C">
        <w:rPr>
          <w:sz w:val="24"/>
          <w:szCs w:val="24"/>
          <w:lang w:eastAsia="tr-TR"/>
        </w:rPr>
        <w:t xml:space="preserve"> Üniversitesi Atatürk İlkeleri ve İnkılap Tarihi Araştırma ve Uygulama Merkezinde yürütülen iyileştirme çalışmaları, merkezin stratejik amaç ve hedefleriyle uyumlu olacak şekilde </w:t>
      </w:r>
      <w:r w:rsidRPr="00466F9C">
        <w:rPr>
          <w:bCs/>
          <w:sz w:val="24"/>
          <w:szCs w:val="24"/>
          <w:lang w:eastAsia="tr-TR"/>
        </w:rPr>
        <w:t>araştırma, eğitim-öğretim ve topluma hizmet</w:t>
      </w:r>
      <w:r w:rsidRPr="00466F9C">
        <w:rPr>
          <w:sz w:val="24"/>
          <w:szCs w:val="24"/>
          <w:lang w:eastAsia="tr-TR"/>
        </w:rPr>
        <w:t xml:space="preserve"> alanlarında önemli çıktılar ortaya koymuştur.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Araştırma faaliyetleri kapsamında Atatürk ilke ve inkılapları, Cumhuriyet tarihi ve Türk modernleşme sürecine ilişkin bilimsel çalışmalar desteklenmiş; konferans, panel, seminer ve benzeri akademik etkinlikler aracılığıyla bilimsel üretimin artırılmasına katkı sağlanmıştır.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Eğitim-öğretim alanında, üniversitede yürütülen Atatürk İlkeleri ve İnkılap Tarihi derslerinin akademik niteliğinin güçlendirilmesine yönelik faaliyetler gerçekleştirilmiş ve öğrencilerin tarih bilinci ile milli değerler konusundaki farkındalıklarının artırılması hedeflenmiştir.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Topluma hizmet faaliyetleri kapsamında ise Atatürk ilke ve inkılaplarının toplum tarafından daha iyi anlaşılmasına yönelik etkinlikler düzenlenmiş, ulusal gün ve haftalar çerçevesinde gerçekleştirilen programlarla merkezin görünürlüğü ve toplumsal etkisi artırılmıştır.</w:t>
      </w:r>
    </w:p>
    <w:p w:rsidR="00466F9C" w:rsidRPr="00466F9C" w:rsidRDefault="00466F9C" w:rsidP="00466F9C">
      <w:pPr>
        <w:widowControl/>
        <w:autoSpaceDE/>
        <w:autoSpaceDN/>
        <w:spacing w:before="100" w:beforeAutospacing="1" w:after="100" w:afterAutospacing="1"/>
        <w:rPr>
          <w:sz w:val="24"/>
          <w:szCs w:val="24"/>
          <w:lang w:eastAsia="tr-TR"/>
        </w:rPr>
      </w:pPr>
      <w:r w:rsidRPr="00466F9C">
        <w:rPr>
          <w:sz w:val="24"/>
          <w:szCs w:val="24"/>
          <w:lang w:eastAsia="tr-TR"/>
        </w:rPr>
        <w:t xml:space="preserve">Genel değerlendirme sonucunda, gerçekleştirilen iyileştirme çalışmalarının merkezin </w:t>
      </w:r>
      <w:r w:rsidRPr="00466F9C">
        <w:rPr>
          <w:bCs/>
          <w:sz w:val="24"/>
          <w:szCs w:val="24"/>
          <w:lang w:eastAsia="tr-TR"/>
        </w:rPr>
        <w:t>akademik etkinliğini, bilimsel üretkenliğini ve toplumsal katkı düzeyini artırdığı</w:t>
      </w:r>
      <w:r w:rsidRPr="00466F9C">
        <w:rPr>
          <w:sz w:val="24"/>
          <w:szCs w:val="24"/>
          <w:lang w:eastAsia="tr-TR"/>
        </w:rPr>
        <w:t xml:space="preserve"> görülmektedir.</w:t>
      </w:r>
    </w:p>
    <w:p w:rsidR="00E4212E" w:rsidRDefault="00E4212E">
      <w:pPr>
        <w:pStyle w:val="GvdeMetni"/>
        <w:spacing w:line="280" w:lineRule="auto"/>
        <w:jc w:val="both"/>
        <w:sectPr w:rsidR="00E4212E">
          <w:pgSz w:w="11910" w:h="16840"/>
          <w:pgMar w:top="1940" w:right="992" w:bottom="280" w:left="1275" w:header="708" w:footer="708" w:gutter="0"/>
          <w:cols w:space="708"/>
        </w:sectPr>
      </w:pPr>
    </w:p>
    <w:p w:rsidR="00E4212E" w:rsidRDefault="00466F9C">
      <w:pPr>
        <w:pStyle w:val="Balk1"/>
        <w:numPr>
          <w:ilvl w:val="1"/>
          <w:numId w:val="1"/>
        </w:numPr>
        <w:tabs>
          <w:tab w:val="left" w:pos="422"/>
        </w:tabs>
        <w:spacing w:before="178"/>
        <w:ind w:left="422" w:hanging="349"/>
      </w:pPr>
      <w:r>
        <w:lastRenderedPageBreak/>
        <w:t>İyileştirme</w:t>
      </w:r>
      <w:r>
        <w:rPr>
          <w:spacing w:val="7"/>
        </w:rPr>
        <w:t xml:space="preserve"> </w:t>
      </w:r>
      <w:r>
        <w:t>Önerileri</w:t>
      </w:r>
      <w:r>
        <w:rPr>
          <w:spacing w:val="9"/>
        </w:rPr>
        <w:t xml:space="preserve"> </w:t>
      </w:r>
      <w:r>
        <w:t>ve</w:t>
      </w:r>
      <w:r>
        <w:rPr>
          <w:spacing w:val="7"/>
        </w:rPr>
        <w:t xml:space="preserve"> </w:t>
      </w:r>
      <w:r>
        <w:t>Aksiyon</w:t>
      </w:r>
      <w:r>
        <w:rPr>
          <w:spacing w:val="-6"/>
        </w:rPr>
        <w:t xml:space="preserve"> </w:t>
      </w:r>
      <w:r>
        <w:rPr>
          <w:spacing w:val="-2"/>
        </w:rPr>
        <w:t>Planı</w:t>
      </w:r>
    </w:p>
    <w:p w:rsidR="00E4212E" w:rsidRDefault="00E4212E">
      <w:pPr>
        <w:pStyle w:val="GvdeMetni"/>
        <w:spacing w:before="7"/>
        <w:rPr>
          <w:b/>
          <w:sz w:val="20"/>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7"/>
        <w:gridCol w:w="1836"/>
        <w:gridCol w:w="2618"/>
        <w:gridCol w:w="1377"/>
        <w:gridCol w:w="1561"/>
      </w:tblGrid>
      <w:tr w:rsidR="00E4212E" w:rsidTr="003F6AB6">
        <w:trPr>
          <w:trHeight w:val="757"/>
        </w:trPr>
        <w:tc>
          <w:tcPr>
            <w:tcW w:w="1777" w:type="dxa"/>
          </w:tcPr>
          <w:p w:rsidR="00E4212E" w:rsidRDefault="00466F9C">
            <w:pPr>
              <w:pStyle w:val="TableParagraph"/>
              <w:spacing w:before="136" w:line="242" w:lineRule="auto"/>
              <w:ind w:left="465" w:hanging="244"/>
              <w:rPr>
                <w:b/>
                <w:sz w:val="21"/>
              </w:rPr>
            </w:pPr>
            <w:r>
              <w:rPr>
                <w:b/>
                <w:spacing w:val="-2"/>
                <w:sz w:val="21"/>
              </w:rPr>
              <w:t>İyileştirme Alanı</w:t>
            </w:r>
          </w:p>
        </w:tc>
        <w:tc>
          <w:tcPr>
            <w:tcW w:w="1836" w:type="dxa"/>
          </w:tcPr>
          <w:p w:rsidR="00E4212E" w:rsidRDefault="00E4212E">
            <w:pPr>
              <w:pStyle w:val="TableParagraph"/>
              <w:spacing w:before="17"/>
              <w:rPr>
                <w:b/>
                <w:sz w:val="21"/>
              </w:rPr>
            </w:pPr>
          </w:p>
          <w:p w:rsidR="00E4212E" w:rsidRDefault="00466F9C">
            <w:pPr>
              <w:pStyle w:val="TableParagraph"/>
              <w:ind w:left="228"/>
              <w:rPr>
                <w:b/>
                <w:sz w:val="21"/>
              </w:rPr>
            </w:pPr>
            <w:r>
              <w:rPr>
                <w:b/>
                <w:sz w:val="21"/>
              </w:rPr>
              <w:t>Planlanan</w:t>
            </w:r>
            <w:r>
              <w:rPr>
                <w:b/>
                <w:spacing w:val="9"/>
                <w:sz w:val="21"/>
              </w:rPr>
              <w:t xml:space="preserve"> </w:t>
            </w:r>
            <w:r>
              <w:rPr>
                <w:b/>
                <w:spacing w:val="-2"/>
                <w:sz w:val="21"/>
              </w:rPr>
              <w:t>Aksiyon</w:t>
            </w:r>
          </w:p>
        </w:tc>
        <w:tc>
          <w:tcPr>
            <w:tcW w:w="2618" w:type="dxa"/>
          </w:tcPr>
          <w:p w:rsidR="00E4212E" w:rsidRDefault="00E4212E">
            <w:pPr>
              <w:pStyle w:val="TableParagraph"/>
              <w:spacing w:before="84"/>
              <w:rPr>
                <w:b/>
                <w:sz w:val="21"/>
              </w:rPr>
            </w:pPr>
          </w:p>
          <w:p w:rsidR="00E4212E" w:rsidRDefault="00466F9C">
            <w:pPr>
              <w:pStyle w:val="TableParagraph"/>
              <w:ind w:left="861"/>
              <w:rPr>
                <w:b/>
                <w:sz w:val="21"/>
              </w:rPr>
            </w:pPr>
            <w:r>
              <w:rPr>
                <w:b/>
                <w:spacing w:val="-4"/>
                <w:sz w:val="21"/>
              </w:rPr>
              <w:t>Sonuç</w:t>
            </w:r>
          </w:p>
        </w:tc>
        <w:tc>
          <w:tcPr>
            <w:tcW w:w="1377" w:type="dxa"/>
          </w:tcPr>
          <w:p w:rsidR="00E4212E" w:rsidRDefault="00E4212E">
            <w:pPr>
              <w:pStyle w:val="TableParagraph"/>
              <w:spacing w:before="17"/>
              <w:rPr>
                <w:b/>
                <w:sz w:val="21"/>
              </w:rPr>
            </w:pPr>
          </w:p>
          <w:p w:rsidR="00E4212E" w:rsidRDefault="00466F9C">
            <w:pPr>
              <w:pStyle w:val="TableParagraph"/>
              <w:ind w:left="389"/>
              <w:rPr>
                <w:b/>
                <w:sz w:val="21"/>
              </w:rPr>
            </w:pPr>
            <w:r>
              <w:rPr>
                <w:b/>
                <w:spacing w:val="-2"/>
                <w:sz w:val="21"/>
              </w:rPr>
              <w:t>Kanıt</w:t>
            </w:r>
          </w:p>
        </w:tc>
        <w:tc>
          <w:tcPr>
            <w:tcW w:w="1561" w:type="dxa"/>
          </w:tcPr>
          <w:p w:rsidR="00E4212E" w:rsidRDefault="00466F9C">
            <w:pPr>
              <w:pStyle w:val="TableParagraph"/>
              <w:spacing w:before="136" w:line="242" w:lineRule="auto"/>
              <w:ind w:left="498" w:right="119" w:hanging="295"/>
              <w:rPr>
                <w:b/>
                <w:sz w:val="21"/>
              </w:rPr>
            </w:pPr>
            <w:r>
              <w:rPr>
                <w:b/>
                <w:sz w:val="21"/>
              </w:rPr>
              <w:t>İlgili</w:t>
            </w:r>
            <w:r>
              <w:rPr>
                <w:b/>
                <w:spacing w:val="-14"/>
                <w:sz w:val="21"/>
              </w:rPr>
              <w:t xml:space="preserve"> </w:t>
            </w:r>
            <w:r>
              <w:rPr>
                <w:b/>
                <w:sz w:val="21"/>
              </w:rPr>
              <w:t xml:space="preserve">Olduğu </w:t>
            </w:r>
            <w:r>
              <w:rPr>
                <w:b/>
                <w:spacing w:val="-2"/>
                <w:sz w:val="21"/>
              </w:rPr>
              <w:t>Rapor</w:t>
            </w:r>
          </w:p>
        </w:tc>
      </w:tr>
      <w:tr w:rsidR="00E4212E" w:rsidTr="003F6AB6">
        <w:trPr>
          <w:trHeight w:val="1722"/>
        </w:trPr>
        <w:tc>
          <w:tcPr>
            <w:tcW w:w="1777" w:type="dxa"/>
          </w:tcPr>
          <w:p w:rsidR="00E4212E" w:rsidRDefault="00E4212E">
            <w:pPr>
              <w:pStyle w:val="TableParagraph"/>
              <w:rPr>
                <w:b/>
                <w:sz w:val="23"/>
              </w:rPr>
            </w:pPr>
          </w:p>
          <w:p w:rsidR="00E4212E" w:rsidRDefault="00E4212E">
            <w:pPr>
              <w:pStyle w:val="TableParagraph"/>
              <w:spacing w:before="64"/>
              <w:rPr>
                <w:b/>
                <w:sz w:val="23"/>
              </w:rPr>
            </w:pPr>
          </w:p>
          <w:p w:rsidR="00E4212E" w:rsidRDefault="00466F9C">
            <w:pPr>
              <w:pStyle w:val="TableParagraph"/>
              <w:spacing w:line="244" w:lineRule="auto"/>
              <w:ind w:left="179"/>
              <w:rPr>
                <w:sz w:val="23"/>
              </w:rPr>
            </w:pPr>
            <w:r>
              <w:rPr>
                <w:spacing w:val="-2"/>
                <w:sz w:val="23"/>
              </w:rPr>
              <w:t>EĞİTİM- ÖĞRETİM</w:t>
            </w:r>
          </w:p>
        </w:tc>
        <w:tc>
          <w:tcPr>
            <w:tcW w:w="1836" w:type="dxa"/>
          </w:tcPr>
          <w:p w:rsidR="00E4212E" w:rsidRDefault="003F6AB6" w:rsidP="003F6AB6">
            <w:pPr>
              <w:pStyle w:val="TableParagraph"/>
              <w:tabs>
                <w:tab w:val="left" w:pos="1119"/>
                <w:tab w:val="left" w:pos="1695"/>
                <w:tab w:val="left" w:pos="1826"/>
              </w:tabs>
              <w:spacing w:before="57" w:line="242" w:lineRule="auto"/>
              <w:ind w:left="137" w:right="125"/>
              <w:rPr>
                <w:sz w:val="23"/>
              </w:rPr>
            </w:pPr>
            <w:r w:rsidRPr="00006479">
              <w:t>Derslere katılımı arttırmaya yönelik çalışmalar planlanması</w:t>
            </w:r>
            <w:r>
              <w:t>.</w:t>
            </w:r>
            <w:r w:rsidRPr="00204B44">
              <w:t xml:space="preserve"> </w:t>
            </w:r>
          </w:p>
        </w:tc>
        <w:tc>
          <w:tcPr>
            <w:tcW w:w="2618" w:type="dxa"/>
          </w:tcPr>
          <w:p w:rsidR="00E4212E" w:rsidRDefault="003F6AB6">
            <w:pPr>
              <w:pStyle w:val="TableParagraph"/>
              <w:spacing w:line="223" w:lineRule="exact"/>
              <w:ind w:left="93"/>
              <w:jc w:val="both"/>
              <w:rPr>
                <w:sz w:val="21"/>
              </w:rPr>
            </w:pPr>
            <w:r w:rsidRPr="003F6AB6">
              <w:rPr>
                <w:sz w:val="21"/>
              </w:rPr>
              <w:t>Üniversitemiz bünyesinde AİIT I ve II dersini alanlar öğrenciler</w:t>
            </w:r>
          </w:p>
        </w:tc>
        <w:tc>
          <w:tcPr>
            <w:tcW w:w="1377" w:type="dxa"/>
            <w:vMerge w:val="restart"/>
          </w:tcPr>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rPr>
                <w:b/>
                <w:sz w:val="21"/>
              </w:rPr>
            </w:pPr>
          </w:p>
          <w:p w:rsidR="00E4212E" w:rsidRDefault="00E4212E">
            <w:pPr>
              <w:pStyle w:val="TableParagraph"/>
              <w:spacing w:before="153"/>
              <w:rPr>
                <w:b/>
                <w:sz w:val="21"/>
              </w:rPr>
            </w:pPr>
          </w:p>
          <w:p w:rsidR="00E4212E" w:rsidRDefault="003F6AB6">
            <w:pPr>
              <w:pStyle w:val="TableParagraph"/>
              <w:spacing w:line="244" w:lineRule="auto"/>
              <w:ind w:left="70"/>
              <w:rPr>
                <w:sz w:val="21"/>
              </w:rPr>
            </w:pPr>
            <w:hyperlink r:id="rId6" w:history="1">
              <w:r w:rsidRPr="002A06E1">
                <w:rPr>
                  <w:rStyle w:val="Kpr"/>
                  <w:sz w:val="21"/>
                </w:rPr>
                <w:t>https://www.ohu.edu.tr/etkinlik/cumhuriyetimizin-ikinci-yuzyilinda-milli-devlet-ve-milliyetcilik/1145</w:t>
              </w:r>
            </w:hyperlink>
          </w:p>
          <w:p w:rsidR="003F6AB6" w:rsidRDefault="003F6AB6">
            <w:pPr>
              <w:pStyle w:val="TableParagraph"/>
              <w:spacing w:line="244" w:lineRule="auto"/>
              <w:ind w:left="70"/>
              <w:rPr>
                <w:sz w:val="21"/>
              </w:rPr>
            </w:pPr>
          </w:p>
          <w:p w:rsidR="003F6AB6" w:rsidRDefault="003F6AB6">
            <w:pPr>
              <w:pStyle w:val="TableParagraph"/>
              <w:spacing w:line="244" w:lineRule="auto"/>
              <w:ind w:left="70"/>
              <w:rPr>
                <w:sz w:val="21"/>
              </w:rPr>
            </w:pPr>
            <w:hyperlink r:id="rId7" w:history="1">
              <w:r w:rsidRPr="002A06E1">
                <w:rPr>
                  <w:rStyle w:val="Kpr"/>
                  <w:sz w:val="21"/>
                </w:rPr>
                <w:t>https://www.ohu.edu.tr/etkinlik/tarihin-ocaginda-nigde-/1109</w:t>
              </w:r>
            </w:hyperlink>
          </w:p>
          <w:p w:rsidR="003F6AB6" w:rsidRDefault="003F6AB6">
            <w:pPr>
              <w:pStyle w:val="TableParagraph"/>
              <w:spacing w:line="244" w:lineRule="auto"/>
              <w:ind w:left="70"/>
              <w:rPr>
                <w:sz w:val="21"/>
              </w:rPr>
            </w:pPr>
          </w:p>
        </w:tc>
        <w:tc>
          <w:tcPr>
            <w:tcW w:w="1561" w:type="dxa"/>
            <w:vMerge w:val="restart"/>
            <w:tcBorders>
              <w:top w:val="nil"/>
            </w:tcBorders>
          </w:tcPr>
          <w:p w:rsidR="003F6AB6" w:rsidRDefault="003F6AB6">
            <w:pPr>
              <w:rPr>
                <w:sz w:val="2"/>
                <w:szCs w:val="2"/>
              </w:rPr>
            </w:pPr>
            <w:proofErr w:type="gramStart"/>
            <w:r>
              <w:rPr>
                <w:sz w:val="2"/>
                <w:szCs w:val="2"/>
              </w:rPr>
              <w:t>2025202222222</w:t>
            </w:r>
            <w:proofErr w:type="gramEnd"/>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Default="003F6AB6" w:rsidP="003F6AB6">
            <w:pPr>
              <w:rPr>
                <w:sz w:val="2"/>
                <w:szCs w:val="2"/>
              </w:rPr>
            </w:pPr>
            <w:r>
              <w:rPr>
                <w:sz w:val="2"/>
                <w:szCs w:val="2"/>
              </w:rPr>
              <w:t>2225KKGGGG</w:t>
            </w: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Pr="003F6AB6" w:rsidRDefault="003F6AB6" w:rsidP="003F6AB6">
            <w:pPr>
              <w:rPr>
                <w:sz w:val="2"/>
                <w:szCs w:val="2"/>
              </w:rPr>
            </w:pPr>
          </w:p>
          <w:p w:rsidR="003F6AB6" w:rsidRDefault="003F6AB6" w:rsidP="003F6AB6">
            <w:pPr>
              <w:rPr>
                <w:sz w:val="2"/>
                <w:szCs w:val="2"/>
              </w:rPr>
            </w:pPr>
          </w:p>
          <w:p w:rsidR="00E4212E" w:rsidRPr="003F6AB6" w:rsidRDefault="003F6AB6" w:rsidP="003F6AB6">
            <w:pPr>
              <w:rPr>
                <w:sz w:val="2"/>
                <w:szCs w:val="2"/>
              </w:rPr>
            </w:pPr>
            <w:r>
              <w:rPr>
                <w:sz w:val="2"/>
                <w:szCs w:val="2"/>
              </w:rPr>
              <w:t>GG2</w:t>
            </w:r>
            <w:r>
              <w:rPr>
                <w:sz w:val="21"/>
              </w:rPr>
              <w:t xml:space="preserve">2025 Yılı </w:t>
            </w:r>
            <w:r>
              <w:rPr>
                <w:sz w:val="21"/>
              </w:rPr>
              <w:t xml:space="preserve">Eylem Planı İzleme </w:t>
            </w:r>
            <w:r>
              <w:rPr>
                <w:spacing w:val="-2"/>
                <w:sz w:val="21"/>
              </w:rPr>
              <w:t>Raporu</w:t>
            </w:r>
          </w:p>
        </w:tc>
      </w:tr>
      <w:tr w:rsidR="003F6AB6" w:rsidTr="003F6AB6">
        <w:trPr>
          <w:trHeight w:val="4259"/>
        </w:trPr>
        <w:tc>
          <w:tcPr>
            <w:tcW w:w="1777" w:type="dxa"/>
          </w:tcPr>
          <w:p w:rsidR="003F6AB6" w:rsidRDefault="003F6AB6">
            <w:pPr>
              <w:pStyle w:val="TableParagraph"/>
              <w:rPr>
                <w:b/>
                <w:sz w:val="23"/>
              </w:rPr>
            </w:pPr>
          </w:p>
          <w:p w:rsidR="003F6AB6" w:rsidRDefault="003F6AB6">
            <w:pPr>
              <w:pStyle w:val="TableParagraph"/>
              <w:rPr>
                <w:b/>
                <w:sz w:val="23"/>
              </w:rPr>
            </w:pPr>
          </w:p>
          <w:p w:rsidR="003F6AB6" w:rsidRDefault="003F6AB6">
            <w:pPr>
              <w:pStyle w:val="TableParagraph"/>
              <w:rPr>
                <w:b/>
                <w:sz w:val="23"/>
              </w:rPr>
            </w:pPr>
          </w:p>
          <w:p w:rsidR="003F6AB6" w:rsidRDefault="003F6AB6">
            <w:pPr>
              <w:pStyle w:val="TableParagraph"/>
              <w:rPr>
                <w:b/>
                <w:sz w:val="23"/>
              </w:rPr>
            </w:pPr>
          </w:p>
          <w:p w:rsidR="003F6AB6" w:rsidRDefault="003F6AB6">
            <w:pPr>
              <w:pStyle w:val="TableParagraph"/>
              <w:rPr>
                <w:b/>
                <w:sz w:val="23"/>
              </w:rPr>
            </w:pPr>
          </w:p>
          <w:p w:rsidR="003F6AB6" w:rsidRDefault="003F6AB6">
            <w:pPr>
              <w:pStyle w:val="TableParagraph"/>
              <w:rPr>
                <w:b/>
                <w:sz w:val="23"/>
              </w:rPr>
            </w:pPr>
          </w:p>
          <w:p w:rsidR="003F6AB6" w:rsidRDefault="003F6AB6">
            <w:pPr>
              <w:pStyle w:val="TableParagraph"/>
              <w:spacing w:before="144"/>
              <w:rPr>
                <w:b/>
                <w:sz w:val="23"/>
              </w:rPr>
            </w:pPr>
          </w:p>
          <w:p w:rsidR="003F6AB6" w:rsidRDefault="003F6AB6">
            <w:pPr>
              <w:pStyle w:val="TableParagraph"/>
              <w:ind w:left="179"/>
              <w:rPr>
                <w:sz w:val="23"/>
              </w:rPr>
            </w:pPr>
            <w:r w:rsidRPr="003F6AB6">
              <w:t>BİLİMSEL FAALİYETLER</w:t>
            </w:r>
          </w:p>
        </w:tc>
        <w:tc>
          <w:tcPr>
            <w:tcW w:w="1836" w:type="dxa"/>
          </w:tcPr>
          <w:p w:rsidR="003F6AB6" w:rsidRDefault="003F6AB6" w:rsidP="003F6AB6">
            <w:pPr>
              <w:pStyle w:val="TableParagraph"/>
              <w:spacing w:line="268" w:lineRule="exact"/>
              <w:ind w:left="137"/>
              <w:rPr>
                <w:sz w:val="23"/>
              </w:rPr>
            </w:pPr>
            <w:r w:rsidRPr="00E92185">
              <w:t>Önemli gün, haftalarda ve bayramlarda toplumu bilinçlendirme ve bilgilendirme çalışmalarının yapılması</w:t>
            </w:r>
          </w:p>
        </w:tc>
        <w:tc>
          <w:tcPr>
            <w:tcW w:w="2618" w:type="dxa"/>
          </w:tcPr>
          <w:p w:rsidR="003F6AB6" w:rsidRDefault="003F6AB6">
            <w:pPr>
              <w:pStyle w:val="TableParagraph"/>
              <w:spacing w:before="156" w:line="244" w:lineRule="auto"/>
              <w:ind w:left="93"/>
              <w:rPr>
                <w:sz w:val="21"/>
              </w:rPr>
            </w:pPr>
            <w:r w:rsidRPr="00E92185">
              <w:t>Belirli gün, haftalarda ve etkinliklerin düzenlenmesi</w:t>
            </w:r>
          </w:p>
        </w:tc>
        <w:tc>
          <w:tcPr>
            <w:tcW w:w="1377" w:type="dxa"/>
            <w:vMerge/>
            <w:tcBorders>
              <w:top w:val="nil"/>
            </w:tcBorders>
          </w:tcPr>
          <w:p w:rsidR="003F6AB6" w:rsidRDefault="003F6AB6">
            <w:pPr>
              <w:rPr>
                <w:sz w:val="2"/>
                <w:szCs w:val="2"/>
              </w:rPr>
            </w:pPr>
          </w:p>
        </w:tc>
        <w:tc>
          <w:tcPr>
            <w:tcW w:w="1561" w:type="dxa"/>
            <w:vMerge/>
            <w:tcBorders>
              <w:top w:val="nil"/>
            </w:tcBorders>
          </w:tcPr>
          <w:p w:rsidR="003F6AB6" w:rsidRDefault="003F6AB6">
            <w:pPr>
              <w:rPr>
                <w:sz w:val="2"/>
                <w:szCs w:val="2"/>
              </w:rPr>
            </w:pPr>
          </w:p>
        </w:tc>
      </w:tr>
    </w:tbl>
    <w:p w:rsidR="00E4212E" w:rsidRDefault="00E4212E">
      <w:pPr>
        <w:rPr>
          <w:sz w:val="2"/>
          <w:szCs w:val="2"/>
        </w:rPr>
        <w:sectPr w:rsidR="00E4212E">
          <w:pgSz w:w="11910" w:h="16840"/>
          <w:pgMar w:top="1940" w:right="992" w:bottom="280" w:left="1275" w:header="708" w:footer="708" w:gutter="0"/>
          <w:cols w:space="708"/>
        </w:sectPr>
      </w:pPr>
    </w:p>
    <w:p w:rsidR="00E4212E" w:rsidRDefault="00466F9C">
      <w:pPr>
        <w:pStyle w:val="ListeParagraf"/>
        <w:numPr>
          <w:ilvl w:val="1"/>
          <w:numId w:val="1"/>
        </w:numPr>
        <w:tabs>
          <w:tab w:val="left" w:pos="422"/>
        </w:tabs>
        <w:spacing w:before="178"/>
        <w:ind w:left="422" w:hanging="349"/>
        <w:rPr>
          <w:b/>
          <w:sz w:val="23"/>
        </w:rPr>
      </w:pPr>
      <w:r>
        <w:rPr>
          <w:b/>
          <w:spacing w:val="-2"/>
          <w:sz w:val="23"/>
        </w:rPr>
        <w:lastRenderedPageBreak/>
        <w:t>Sonuç</w:t>
      </w:r>
    </w:p>
    <w:p w:rsidR="00E4212E" w:rsidRDefault="00466F9C" w:rsidP="00466F9C">
      <w:pPr>
        <w:pStyle w:val="GvdeMetni"/>
        <w:spacing w:line="280" w:lineRule="auto"/>
        <w:ind w:right="671"/>
        <w:jc w:val="both"/>
      </w:pPr>
      <w:r>
        <w:br/>
        <w:t xml:space="preserve">2025 yılı itibarıyla Niğde Ömer </w:t>
      </w:r>
      <w:proofErr w:type="spellStart"/>
      <w:r>
        <w:t>Halisdemir</w:t>
      </w:r>
      <w:proofErr w:type="spellEnd"/>
      <w:r>
        <w:t xml:space="preserve"> Üniversitesi Atatürk İlkeleri ve İnkılap Tarihi Araştırma ve Uygulama Merkezinde yürütülen iyileştirme faaliyetleri, merkezin stratejik hedefleri doğrultusunda somut ve ölçülebilir ilerlemeler kaydettiğini göstermektedir. Araştırma faaliyetleri, Atatürk ilke ve inkılaplarının bilimsel temelde incelenmesini ve yeni akademik üretimlerin ortaya konmasını sağlamış; eğitim-öğretim alanında gerçekleştirilen çalışmalar, öğrencilerin tarih bilinci ve milli değerler konusundaki farkındalıklarını güçlendirmiştir. Topluma hizmet faaliyetleri ise merkezin görünürlüğünü artırarak, Atatürk ilkelerinin toplum tarafından daha iyi anlaşılmasına ve yaygınlaştırılmasına katkı sağlamıştır. Bu sonuçlar, merkezin ulusal ve uluslararası düzeyde akademik etki ve toplumsal katkısını artırdığı gibi, geleceğe dönük sürdürülebilir gelişim stratejilerinin planlanmasına da sağlam bir temel oluşturmaktadır.</w:t>
      </w:r>
      <w:bookmarkStart w:id="0" w:name="_GoBack"/>
      <w:bookmarkEnd w:id="0"/>
    </w:p>
    <w:sectPr w:rsidR="00E4212E">
      <w:pgSz w:w="11910" w:h="16840"/>
      <w:pgMar w:top="194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0550C"/>
    <w:multiLevelType w:val="multilevel"/>
    <w:tmpl w:val="2A6CDF06"/>
    <w:lvl w:ilvl="0">
      <w:start w:val="1"/>
      <w:numFmt w:val="decimal"/>
      <w:lvlText w:val="%1."/>
      <w:lvlJc w:val="left"/>
      <w:pPr>
        <w:ind w:left="307" w:hanging="235"/>
        <w:jc w:val="left"/>
      </w:pPr>
      <w:rPr>
        <w:rFonts w:ascii="Times New Roman" w:eastAsia="Times New Roman" w:hAnsi="Times New Roman" w:cs="Times New Roman" w:hint="default"/>
        <w:b/>
        <w:bCs/>
        <w:i w:val="0"/>
        <w:iCs w:val="0"/>
        <w:spacing w:val="-3"/>
        <w:w w:val="101"/>
        <w:sz w:val="23"/>
        <w:szCs w:val="23"/>
        <w:lang w:val="tr-TR" w:eastAsia="en-US" w:bidi="ar-SA"/>
      </w:rPr>
    </w:lvl>
    <w:lvl w:ilvl="1">
      <w:start w:val="1"/>
      <w:numFmt w:val="decimal"/>
      <w:lvlText w:val="%1.%2"/>
      <w:lvlJc w:val="left"/>
      <w:pPr>
        <w:ind w:left="424" w:hanging="351"/>
        <w:jc w:val="left"/>
      </w:pPr>
      <w:rPr>
        <w:rFonts w:ascii="Times New Roman" w:eastAsia="Times New Roman" w:hAnsi="Times New Roman" w:cs="Times New Roman" w:hint="default"/>
        <w:b/>
        <w:bCs/>
        <w:i w:val="0"/>
        <w:iCs w:val="0"/>
        <w:spacing w:val="-6"/>
        <w:w w:val="101"/>
        <w:sz w:val="23"/>
        <w:szCs w:val="23"/>
        <w:lang w:val="tr-TR" w:eastAsia="en-US" w:bidi="ar-SA"/>
      </w:rPr>
    </w:lvl>
    <w:lvl w:ilvl="2">
      <w:numFmt w:val="bullet"/>
      <w:lvlText w:val="•"/>
      <w:lvlJc w:val="left"/>
      <w:pPr>
        <w:ind w:left="1444" w:hanging="351"/>
      </w:pPr>
      <w:rPr>
        <w:rFonts w:hint="default"/>
        <w:lang w:val="tr-TR" w:eastAsia="en-US" w:bidi="ar-SA"/>
      </w:rPr>
    </w:lvl>
    <w:lvl w:ilvl="3">
      <w:numFmt w:val="bullet"/>
      <w:lvlText w:val="•"/>
      <w:lvlJc w:val="left"/>
      <w:pPr>
        <w:ind w:left="2468" w:hanging="351"/>
      </w:pPr>
      <w:rPr>
        <w:rFonts w:hint="default"/>
        <w:lang w:val="tr-TR" w:eastAsia="en-US" w:bidi="ar-SA"/>
      </w:rPr>
    </w:lvl>
    <w:lvl w:ilvl="4">
      <w:numFmt w:val="bullet"/>
      <w:lvlText w:val="•"/>
      <w:lvlJc w:val="left"/>
      <w:pPr>
        <w:ind w:left="3492" w:hanging="351"/>
      </w:pPr>
      <w:rPr>
        <w:rFonts w:hint="default"/>
        <w:lang w:val="tr-TR" w:eastAsia="en-US" w:bidi="ar-SA"/>
      </w:rPr>
    </w:lvl>
    <w:lvl w:ilvl="5">
      <w:numFmt w:val="bullet"/>
      <w:lvlText w:val="•"/>
      <w:lvlJc w:val="left"/>
      <w:pPr>
        <w:ind w:left="4516" w:hanging="351"/>
      </w:pPr>
      <w:rPr>
        <w:rFonts w:hint="default"/>
        <w:lang w:val="tr-TR" w:eastAsia="en-US" w:bidi="ar-SA"/>
      </w:rPr>
    </w:lvl>
    <w:lvl w:ilvl="6">
      <w:numFmt w:val="bullet"/>
      <w:lvlText w:val="•"/>
      <w:lvlJc w:val="left"/>
      <w:pPr>
        <w:ind w:left="5540" w:hanging="351"/>
      </w:pPr>
      <w:rPr>
        <w:rFonts w:hint="default"/>
        <w:lang w:val="tr-TR" w:eastAsia="en-US" w:bidi="ar-SA"/>
      </w:rPr>
    </w:lvl>
    <w:lvl w:ilvl="7">
      <w:numFmt w:val="bullet"/>
      <w:lvlText w:val="•"/>
      <w:lvlJc w:val="left"/>
      <w:pPr>
        <w:ind w:left="6564" w:hanging="351"/>
      </w:pPr>
      <w:rPr>
        <w:rFonts w:hint="default"/>
        <w:lang w:val="tr-TR" w:eastAsia="en-US" w:bidi="ar-SA"/>
      </w:rPr>
    </w:lvl>
    <w:lvl w:ilvl="8">
      <w:numFmt w:val="bullet"/>
      <w:lvlText w:val="•"/>
      <w:lvlJc w:val="left"/>
      <w:pPr>
        <w:ind w:left="7589" w:hanging="35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4212E"/>
    <w:rsid w:val="003F6AB6"/>
    <w:rsid w:val="00466F9C"/>
    <w:rsid w:val="00E42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8BFC3-82BC-4DBA-9780-7F2B925B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22" w:hanging="349"/>
      <w:outlineLvl w:val="0"/>
    </w:pPr>
    <w:rPr>
      <w:b/>
      <w:bCs/>
      <w:sz w:val="23"/>
      <w:szCs w:val="23"/>
    </w:rPr>
  </w:style>
  <w:style w:type="paragraph" w:styleId="Balk3">
    <w:name w:val="heading 3"/>
    <w:basedOn w:val="Normal"/>
    <w:next w:val="Normal"/>
    <w:link w:val="Balk3Char"/>
    <w:uiPriority w:val="9"/>
    <w:semiHidden/>
    <w:unhideWhenUsed/>
    <w:qFormat/>
    <w:rsid w:val="00466F9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KonuBal">
    <w:name w:val="Title"/>
    <w:basedOn w:val="Normal"/>
    <w:uiPriority w:val="1"/>
    <w:qFormat/>
    <w:pPr>
      <w:ind w:right="1353"/>
      <w:jc w:val="center"/>
    </w:pPr>
    <w:rPr>
      <w:b/>
      <w:bCs/>
      <w:sz w:val="27"/>
      <w:szCs w:val="27"/>
    </w:rPr>
  </w:style>
  <w:style w:type="paragraph" w:styleId="ListeParagraf">
    <w:name w:val="List Paragraph"/>
    <w:basedOn w:val="Normal"/>
    <w:uiPriority w:val="1"/>
    <w:qFormat/>
    <w:pPr>
      <w:ind w:left="422" w:hanging="34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F6AB6"/>
    <w:rPr>
      <w:color w:val="0000FF" w:themeColor="hyperlink"/>
      <w:u w:val="single"/>
    </w:rPr>
  </w:style>
  <w:style w:type="character" w:customStyle="1" w:styleId="Balk3Char">
    <w:name w:val="Başlık 3 Char"/>
    <w:basedOn w:val="VarsaylanParagrafYazTipi"/>
    <w:link w:val="Balk3"/>
    <w:uiPriority w:val="9"/>
    <w:semiHidden/>
    <w:rsid w:val="00466F9C"/>
    <w:rPr>
      <w:rFonts w:asciiTheme="majorHAnsi" w:eastAsiaTheme="majorEastAsia" w:hAnsiTheme="majorHAnsi" w:cstheme="majorBidi"/>
      <w:color w:val="243F60" w:themeColor="accent1" w:themeShade="7F"/>
      <w:sz w:val="24"/>
      <w:szCs w:val="24"/>
      <w:lang w:val="tr-TR"/>
    </w:rPr>
  </w:style>
  <w:style w:type="character" w:styleId="Gl">
    <w:name w:val="Strong"/>
    <w:basedOn w:val="VarsaylanParagrafYazTipi"/>
    <w:uiPriority w:val="22"/>
    <w:qFormat/>
    <w:rsid w:val="0046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969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u.edu.tr/etkinlik/tarihin-ocaginda-nigde-/1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u.edu.tr/etkinlik/cumhuriyetimizin-ikinci-yuzyilinda-milli-devlet-ve-milliyetcilik/114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676</Words>
  <Characters>3858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MoTuN TNCTR</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hesabı</cp:lastModifiedBy>
  <cp:revision>2</cp:revision>
  <dcterms:created xsi:type="dcterms:W3CDTF">2026-03-11T13:47:00Z</dcterms:created>
  <dcterms:modified xsi:type="dcterms:W3CDTF">2026-03-11T14:12:00Z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PScript5.dll Version 5.2.2</vt:lpwstr>
  </property>
  <property fmtid="{D5CDD505-2E9C-101B-9397-08002B2CF9AE}" pid="4" name="LastSaved">
    <vt:filetime>2026-03-11T00:00:00Z</vt:filetime>
  </property>
  <property fmtid="{D5CDD505-2E9C-101B-9397-08002B2CF9AE}" pid="5" name="Producer">
    <vt:lpwstr>Acrobat Distiller 11.0 (Windows)</vt:lpwstr>
  </property>
</Properties>
</file>