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5E89" w14:textId="77777777" w:rsidR="000F6023" w:rsidRPr="00F3264D" w:rsidRDefault="000F6023">
      <w:pPr>
        <w:widowControl w:val="0"/>
        <w:spacing w:before="120" w:after="0" w:line="240" w:lineRule="auto"/>
        <w:ind w:left="118" w:right="63" w:hanging="118"/>
        <w:jc w:val="both"/>
        <w:rPr>
          <w:rFonts w:ascii="Times New Roman" w:eastAsia="Times New Roman" w:hAnsi="Times New Roman" w:cs="Times New Roman"/>
          <w:color w:val="2E75B5"/>
          <w:sz w:val="32"/>
          <w:szCs w:val="32"/>
        </w:rPr>
      </w:pPr>
      <w:bookmarkStart w:id="0" w:name="_gjdgxs" w:colFirst="0" w:colLast="0"/>
      <w:bookmarkEnd w:id="0"/>
    </w:p>
    <w:p w14:paraId="2B3C5E8A" w14:textId="77777777" w:rsidR="000F6023" w:rsidRPr="0082199E" w:rsidRDefault="001D06F2">
      <w:pPr>
        <w:widowControl w:val="0"/>
        <w:spacing w:before="120" w:after="0" w:line="240" w:lineRule="auto"/>
        <w:ind w:left="118" w:right="63" w:hanging="118"/>
        <w:jc w:val="center"/>
        <w:rPr>
          <w:rFonts w:ascii="Times New Roman" w:eastAsia="Times New Roman" w:hAnsi="Times New Roman" w:cs="Times New Roman"/>
          <w:b/>
          <w:color w:val="2E75B5"/>
          <w:sz w:val="32"/>
          <w:szCs w:val="32"/>
        </w:rPr>
      </w:pPr>
      <w:r w:rsidRPr="0082199E">
        <w:rPr>
          <w:rFonts w:ascii="Times New Roman" w:hAnsi="Times New Roman" w:cs="Times New Roman"/>
          <w:noProof/>
        </w:rPr>
        <w:drawing>
          <wp:inline distT="0" distB="0" distL="0" distR="0" wp14:anchorId="2B3C5FDA" wp14:editId="2B3C5FDB">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5"/>
                    <a:srcRect/>
                    <a:stretch>
                      <a:fillRect/>
                    </a:stretch>
                  </pic:blipFill>
                  <pic:spPr>
                    <a:xfrm>
                      <a:off x="0" y="0"/>
                      <a:ext cx="1549699" cy="1424723"/>
                    </a:xfrm>
                    <a:prstGeom prst="rect">
                      <a:avLst/>
                    </a:prstGeom>
                    <a:ln/>
                  </pic:spPr>
                </pic:pic>
              </a:graphicData>
            </a:graphic>
          </wp:inline>
        </w:drawing>
      </w:r>
    </w:p>
    <w:p w14:paraId="2B3C5E8B"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C"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D" w14:textId="77777777" w:rsidR="000F6023" w:rsidRPr="0082199E" w:rsidRDefault="001D06F2">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0D0D0D"/>
          <w:sz w:val="32"/>
          <w:szCs w:val="32"/>
        </w:rPr>
        <w:t>ÖZ DEĞERLENDİRME RAPORU</w:t>
      </w:r>
    </w:p>
    <w:p w14:paraId="2B3C5E8E" w14:textId="77777777" w:rsidR="000F6023" w:rsidRPr="0082199E" w:rsidRDefault="000F6023">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p>
    <w:p w14:paraId="2B3C5E8F"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0"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1" w14:textId="123A01DE" w:rsidR="000F6023" w:rsidRPr="0082199E" w:rsidRDefault="00AC2B5E">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İKTİSAT</w:t>
      </w:r>
    </w:p>
    <w:p w14:paraId="2B3C5E92"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3"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4"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5" w14:textId="2EBCDFB9" w:rsidR="000F6023" w:rsidRPr="0082199E" w:rsidRDefault="00412A41">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NİĞDE ÖMER HALİSDEMİR ÜNİVERSİTESİ</w:t>
      </w:r>
    </w:p>
    <w:p w14:paraId="2B3C5E96"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7" w14:textId="77777777" w:rsidR="000F6023" w:rsidRPr="0082199E" w:rsidRDefault="000F6023">
      <w:pPr>
        <w:jc w:val="center"/>
        <w:rPr>
          <w:rFonts w:ascii="Times New Roman" w:eastAsia="Times New Roman" w:hAnsi="Times New Roman" w:cs="Times New Roman"/>
          <w:b/>
          <w:color w:val="0D0D0D"/>
          <w:sz w:val="32"/>
          <w:szCs w:val="32"/>
        </w:rPr>
      </w:pPr>
    </w:p>
    <w:p w14:paraId="2B3C5E98" w14:textId="77777777" w:rsidR="000F6023" w:rsidRPr="0082199E" w:rsidRDefault="000F6023">
      <w:pPr>
        <w:rPr>
          <w:rFonts w:ascii="Times New Roman" w:eastAsia="Times New Roman" w:hAnsi="Times New Roman" w:cs="Times New Roman"/>
          <w:b/>
          <w:color w:val="0D0D0D"/>
          <w:sz w:val="32"/>
          <w:szCs w:val="32"/>
        </w:rPr>
      </w:pPr>
    </w:p>
    <w:p w14:paraId="2B3C5E99" w14:textId="77777777" w:rsidR="000F6023" w:rsidRPr="0082199E" w:rsidRDefault="000F6023">
      <w:pPr>
        <w:rPr>
          <w:rFonts w:ascii="Times New Roman" w:eastAsia="Times New Roman" w:hAnsi="Times New Roman" w:cs="Times New Roman"/>
          <w:b/>
          <w:color w:val="0D0D0D"/>
          <w:sz w:val="32"/>
          <w:szCs w:val="32"/>
        </w:rPr>
      </w:pPr>
    </w:p>
    <w:p w14:paraId="2B3C5E9A" w14:textId="77777777" w:rsidR="000F6023" w:rsidRPr="0082199E" w:rsidRDefault="000F6023">
      <w:pPr>
        <w:jc w:val="center"/>
        <w:rPr>
          <w:rFonts w:ascii="Times New Roman" w:eastAsia="Times New Roman" w:hAnsi="Times New Roman" w:cs="Times New Roman"/>
          <w:b/>
          <w:color w:val="0D0D0D"/>
          <w:sz w:val="32"/>
          <w:szCs w:val="32"/>
        </w:rPr>
      </w:pPr>
    </w:p>
    <w:p w14:paraId="2B3C5E9B" w14:textId="77777777" w:rsidR="000F6023" w:rsidRPr="0082199E" w:rsidRDefault="000F6023">
      <w:pPr>
        <w:jc w:val="center"/>
        <w:rPr>
          <w:rFonts w:ascii="Times New Roman" w:eastAsia="Times New Roman" w:hAnsi="Times New Roman" w:cs="Times New Roman"/>
          <w:b/>
          <w:color w:val="0D0D0D"/>
          <w:sz w:val="32"/>
          <w:szCs w:val="32"/>
        </w:rPr>
      </w:pPr>
    </w:p>
    <w:p w14:paraId="2B3C5E9C" w14:textId="77777777" w:rsidR="000F6023" w:rsidRPr="0082199E" w:rsidRDefault="000F6023">
      <w:pPr>
        <w:jc w:val="center"/>
        <w:rPr>
          <w:rFonts w:ascii="Times New Roman" w:eastAsia="Times New Roman" w:hAnsi="Times New Roman" w:cs="Times New Roman"/>
          <w:b/>
          <w:color w:val="0D0D0D"/>
          <w:sz w:val="32"/>
          <w:szCs w:val="32"/>
        </w:rPr>
      </w:pPr>
    </w:p>
    <w:p w14:paraId="2B3C5E9D" w14:textId="30B716AC" w:rsidR="000F6023" w:rsidRPr="0082199E" w:rsidRDefault="00305B4A">
      <w:pPr>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02</w:t>
      </w:r>
      <w:r w:rsidR="00742343">
        <w:rPr>
          <w:rFonts w:ascii="Times New Roman" w:eastAsia="Times New Roman" w:hAnsi="Times New Roman" w:cs="Times New Roman"/>
          <w:b/>
          <w:color w:val="0D0D0D"/>
          <w:sz w:val="32"/>
          <w:szCs w:val="32"/>
        </w:rPr>
        <w:t>.0</w:t>
      </w:r>
      <w:r w:rsidR="008D6206">
        <w:rPr>
          <w:rFonts w:ascii="Times New Roman" w:eastAsia="Times New Roman" w:hAnsi="Times New Roman" w:cs="Times New Roman"/>
          <w:b/>
          <w:color w:val="0D0D0D"/>
          <w:sz w:val="32"/>
          <w:szCs w:val="32"/>
        </w:rPr>
        <w:t>1</w:t>
      </w:r>
      <w:r w:rsidR="00742343">
        <w:rPr>
          <w:rFonts w:ascii="Times New Roman" w:eastAsia="Times New Roman" w:hAnsi="Times New Roman" w:cs="Times New Roman"/>
          <w:b/>
          <w:color w:val="0D0D0D"/>
          <w:sz w:val="32"/>
          <w:szCs w:val="32"/>
        </w:rPr>
        <w:t>.202</w:t>
      </w:r>
      <w:r>
        <w:rPr>
          <w:rFonts w:ascii="Times New Roman" w:eastAsia="Times New Roman" w:hAnsi="Times New Roman" w:cs="Times New Roman"/>
          <w:b/>
          <w:color w:val="0D0D0D"/>
          <w:sz w:val="32"/>
          <w:szCs w:val="32"/>
        </w:rPr>
        <w:t>5</w:t>
      </w:r>
    </w:p>
    <w:p w14:paraId="2B3C5E9E"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hAnsi="Times New Roman" w:cs="Times New Roman"/>
        </w:rPr>
        <w:br w:type="page"/>
      </w:r>
    </w:p>
    <w:p w14:paraId="2B3C5E9F"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2E75B5"/>
          <w:sz w:val="32"/>
          <w:szCs w:val="32"/>
        </w:rPr>
        <w:lastRenderedPageBreak/>
        <w:t>A. GENEL BİLGİLER</w:t>
      </w:r>
    </w:p>
    <w:p w14:paraId="2B3C5EA0" w14:textId="77777777" w:rsidR="000F6023" w:rsidRPr="0082199E" w:rsidRDefault="001D06F2">
      <w:pPr>
        <w:spacing w:before="160"/>
        <w:ind w:left="119" w:hanging="119"/>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A.1. İletişim Bilgileri</w:t>
      </w:r>
    </w:p>
    <w:p w14:paraId="2B3C5EA1" w14:textId="77777777" w:rsidR="000F6023" w:rsidRPr="0082199E" w:rsidRDefault="000F6023">
      <w:pPr>
        <w:ind w:left="118" w:hanging="118"/>
        <w:rPr>
          <w:rFonts w:ascii="Times New Roman" w:eastAsia="Times New Roman" w:hAnsi="Times New Roman" w:cs="Times New Roman"/>
          <w:b/>
          <w:sz w:val="24"/>
          <w:szCs w:val="24"/>
        </w:rPr>
      </w:pPr>
    </w:p>
    <w:p w14:paraId="2B3C5EA2" w14:textId="77777777" w:rsidR="000F6023" w:rsidRPr="0082199E" w:rsidRDefault="001D06F2">
      <w:pPr>
        <w:ind w:left="118" w:hanging="118"/>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A.2. Birimdeki Programlar Hakkında Bilgi, Kısa Tarihçe ve Değişiklikler</w:t>
      </w:r>
    </w:p>
    <w:p w14:paraId="2B3C5EA3" w14:textId="77777777" w:rsidR="000F6023" w:rsidRPr="0082199E" w:rsidRDefault="000F6023">
      <w:pPr>
        <w:ind w:left="118" w:hanging="118"/>
        <w:jc w:val="both"/>
        <w:rPr>
          <w:rFonts w:ascii="Times New Roman" w:eastAsia="Times New Roman" w:hAnsi="Times New Roman" w:cs="Times New Roman"/>
          <w:b/>
          <w:sz w:val="24"/>
          <w:szCs w:val="24"/>
        </w:rPr>
      </w:pPr>
    </w:p>
    <w:p w14:paraId="2B3C5EA4"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1. Birimdeki Programlar</w:t>
      </w:r>
    </w:p>
    <w:tbl>
      <w:tblPr>
        <w:tblStyle w:val="a"/>
        <w:tblW w:w="898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0F6023" w:rsidRPr="0082199E" w14:paraId="2B3C5EA9" w14:textId="77777777">
        <w:trPr>
          <w:jc w:val="center"/>
        </w:trPr>
        <w:tc>
          <w:tcPr>
            <w:tcW w:w="2472" w:type="dxa"/>
          </w:tcPr>
          <w:p w14:paraId="2B3C5EA5" w14:textId="77777777" w:rsidR="000F6023" w:rsidRPr="0082199E" w:rsidRDefault="001D06F2">
            <w:pPr>
              <w:rPr>
                <w:b/>
              </w:rPr>
            </w:pPr>
            <w:r w:rsidRPr="0082199E">
              <w:rPr>
                <w:b/>
              </w:rPr>
              <w:t>Programın Adı</w:t>
            </w:r>
          </w:p>
        </w:tc>
        <w:tc>
          <w:tcPr>
            <w:tcW w:w="2626" w:type="dxa"/>
          </w:tcPr>
          <w:p w14:paraId="2B3C5EA6" w14:textId="77777777" w:rsidR="000F6023" w:rsidRPr="0082199E" w:rsidRDefault="001D06F2">
            <w:pPr>
              <w:rPr>
                <w:b/>
              </w:rPr>
            </w:pPr>
            <w:r w:rsidRPr="0082199E">
              <w:rPr>
                <w:b/>
              </w:rPr>
              <w:t>Türü (Normal /</w:t>
            </w:r>
            <w:r w:rsidRPr="0082199E">
              <w:rPr>
                <w:b/>
              </w:rPr>
              <w:br/>
              <w:t>II. Öğretim; Eğitim Dili vs.)</w:t>
            </w:r>
          </w:p>
        </w:tc>
        <w:tc>
          <w:tcPr>
            <w:tcW w:w="2055" w:type="dxa"/>
          </w:tcPr>
          <w:p w14:paraId="2B3C5EA7" w14:textId="77777777" w:rsidR="000F6023" w:rsidRPr="0082199E" w:rsidRDefault="001D06F2">
            <w:pPr>
              <w:rPr>
                <w:b/>
              </w:rPr>
            </w:pPr>
            <w:r w:rsidRPr="0082199E">
              <w:rPr>
                <w:b/>
              </w:rPr>
              <w:t>Programın Süresi</w:t>
            </w:r>
          </w:p>
        </w:tc>
        <w:tc>
          <w:tcPr>
            <w:tcW w:w="1831" w:type="dxa"/>
          </w:tcPr>
          <w:p w14:paraId="2B3C5EA8" w14:textId="77777777" w:rsidR="000F6023" w:rsidRPr="0082199E" w:rsidRDefault="001D06F2">
            <w:pPr>
              <w:rPr>
                <w:b/>
              </w:rPr>
            </w:pPr>
            <w:r w:rsidRPr="0082199E">
              <w:rPr>
                <w:b/>
              </w:rPr>
              <w:t>Kayıtlı Öğrenci Sayısı</w:t>
            </w:r>
          </w:p>
        </w:tc>
      </w:tr>
      <w:tr w:rsidR="00305B4A" w:rsidRPr="0082199E" w14:paraId="2B3C5EAF" w14:textId="77777777" w:rsidTr="00472021">
        <w:trPr>
          <w:jc w:val="center"/>
        </w:trPr>
        <w:tc>
          <w:tcPr>
            <w:tcW w:w="2472" w:type="dxa"/>
            <w:vAlign w:val="top"/>
          </w:tcPr>
          <w:p w14:paraId="2B3C5EAA" w14:textId="0F1274BF" w:rsidR="00305B4A" w:rsidRPr="00DF7650" w:rsidRDefault="00305B4A" w:rsidP="00305B4A">
            <w:pPr>
              <w:jc w:val="left"/>
            </w:pPr>
            <w:r w:rsidRPr="00DA0854">
              <w:t>İktisat</w:t>
            </w:r>
          </w:p>
        </w:tc>
        <w:tc>
          <w:tcPr>
            <w:tcW w:w="2626" w:type="dxa"/>
            <w:vAlign w:val="top"/>
          </w:tcPr>
          <w:p w14:paraId="1B9D980C" w14:textId="77777777" w:rsidR="00305B4A" w:rsidRPr="00DA0854" w:rsidRDefault="00305B4A" w:rsidP="00305B4A">
            <w:pPr>
              <w:pStyle w:val="ListeParagraf"/>
              <w:numPr>
                <w:ilvl w:val="0"/>
                <w:numId w:val="21"/>
              </w:numPr>
              <w:tabs>
                <w:tab w:val="left" w:pos="198"/>
              </w:tabs>
              <w:ind w:left="481" w:hanging="481"/>
            </w:pPr>
            <w:r w:rsidRPr="00DA0854">
              <w:t>Öğretim</w:t>
            </w:r>
          </w:p>
          <w:p w14:paraId="07DEC5ED" w14:textId="77777777" w:rsidR="00305B4A" w:rsidRPr="00DA0854" w:rsidRDefault="00305B4A" w:rsidP="00305B4A">
            <w:pPr>
              <w:tabs>
                <w:tab w:val="left" w:pos="198"/>
              </w:tabs>
            </w:pPr>
          </w:p>
          <w:p w14:paraId="2B3C5EAC" w14:textId="085BC61B" w:rsidR="00305B4A" w:rsidRPr="00DF7650" w:rsidRDefault="00305B4A" w:rsidP="00305B4A">
            <w:r w:rsidRPr="00DA0854">
              <w:t>Eğitim Dili: Türkçe</w:t>
            </w:r>
          </w:p>
        </w:tc>
        <w:tc>
          <w:tcPr>
            <w:tcW w:w="2055" w:type="dxa"/>
            <w:vAlign w:val="top"/>
          </w:tcPr>
          <w:p w14:paraId="2B3C5EAD" w14:textId="7692E8E6" w:rsidR="00305B4A" w:rsidRPr="00DF7650" w:rsidRDefault="00305B4A" w:rsidP="00305B4A">
            <w:r w:rsidRPr="00DA0854">
              <w:t>4</w:t>
            </w:r>
          </w:p>
        </w:tc>
        <w:tc>
          <w:tcPr>
            <w:tcW w:w="1831" w:type="dxa"/>
            <w:vAlign w:val="top"/>
          </w:tcPr>
          <w:p w14:paraId="2B3C5EAE" w14:textId="2A1A709C" w:rsidR="00305B4A" w:rsidRPr="00DF7650" w:rsidRDefault="00305B4A" w:rsidP="00305B4A">
            <w:r w:rsidRPr="00DA0854">
              <w:t>224</w:t>
            </w:r>
          </w:p>
        </w:tc>
      </w:tr>
    </w:tbl>
    <w:p w14:paraId="2B3C5EB0" w14:textId="77777777" w:rsidR="000F6023" w:rsidRPr="0082199E" w:rsidRDefault="000F6023">
      <w:pPr>
        <w:rPr>
          <w:rFonts w:ascii="Times New Roman" w:hAnsi="Times New Roman" w:cs="Times New Roman"/>
        </w:rPr>
      </w:pPr>
    </w:p>
    <w:p w14:paraId="2B3C5EB1"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B. LİDERLİK, YÖNETİM VE KALİTE </w:t>
      </w:r>
    </w:p>
    <w:p w14:paraId="2B3C5EB2" w14:textId="77777777" w:rsidR="000F6023" w:rsidRPr="0082199E" w:rsidRDefault="001D06F2">
      <w:pPr>
        <w:widowControl w:val="0"/>
        <w:spacing w:after="0" w:line="240" w:lineRule="auto"/>
        <w:ind w:right="63"/>
        <w:jc w:val="both"/>
        <w:rPr>
          <w:rFonts w:ascii="Times New Roman" w:eastAsia="Times New Roman" w:hAnsi="Times New Roman" w:cs="Times New Roman"/>
          <w:b/>
          <w:sz w:val="24"/>
          <w:szCs w:val="24"/>
        </w:rPr>
      </w:pPr>
      <w:r w:rsidRPr="0082199E">
        <w:rPr>
          <w:rFonts w:ascii="Times New Roman" w:eastAsia="Times New Roman" w:hAnsi="Times New Roman" w:cs="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82199E">
        <w:rPr>
          <w:rFonts w:ascii="Times New Roman" w:hAnsi="Times New Roman" w:cs="Times New Roman"/>
        </w:rPr>
        <w:t xml:space="preserve"> </w:t>
      </w:r>
      <w:r w:rsidRPr="0082199E">
        <w:rPr>
          <w:rFonts w:ascii="Times New Roman" w:eastAsia="Times New Roman" w:hAnsi="Times New Roman" w:cs="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B3C5EB3" w14:textId="77777777" w:rsidR="000F6023" w:rsidRPr="0082199E" w:rsidRDefault="000F6023">
      <w:pPr>
        <w:widowControl w:val="0"/>
        <w:spacing w:after="0" w:line="360" w:lineRule="auto"/>
        <w:ind w:right="63"/>
        <w:jc w:val="both"/>
        <w:rPr>
          <w:rFonts w:ascii="Times New Roman" w:eastAsia="Times New Roman" w:hAnsi="Times New Roman" w:cs="Times New Roman"/>
          <w:sz w:val="24"/>
          <w:szCs w:val="24"/>
        </w:rPr>
      </w:pPr>
    </w:p>
    <w:p w14:paraId="2B3C5EB4" w14:textId="77777777" w:rsidR="000F6023" w:rsidRPr="0082199E" w:rsidRDefault="001D06F2" w:rsidP="00AC6F54">
      <w:pPr>
        <w:widowControl w:val="0"/>
        <w:spacing w:after="0" w:line="360" w:lineRule="auto"/>
        <w:ind w:left="510" w:right="62" w:hanging="391"/>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B.1. Liderlik</w:t>
      </w:r>
    </w:p>
    <w:p w14:paraId="2B3C5EB5" w14:textId="77777777" w:rsidR="000F6023" w:rsidRPr="0082199E" w:rsidRDefault="001D06F2" w:rsidP="00C47EC0">
      <w:pPr>
        <w:pStyle w:val="ListeParagraf"/>
        <w:numPr>
          <w:ilvl w:val="0"/>
          <w:numId w:val="10"/>
        </w:numPr>
        <w:pBdr>
          <w:top w:val="nil"/>
          <w:left w:val="nil"/>
          <w:bottom w:val="nil"/>
          <w:right w:val="nil"/>
          <w:between w:val="nil"/>
        </w:pBdr>
        <w:spacing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Kalite güvencesi kültürünü geliştirmek üzere yapılan planlamalar ve uygulamalar</w:t>
      </w:r>
    </w:p>
    <w:p w14:paraId="2B3C5EB6" w14:textId="77777777" w:rsidR="000F6023" w:rsidRPr="0082199E" w:rsidRDefault="000F6023">
      <w:pPr>
        <w:widowControl w:val="0"/>
        <w:spacing w:after="0" w:line="240" w:lineRule="auto"/>
        <w:ind w:left="510" w:right="62" w:hanging="391"/>
        <w:jc w:val="both"/>
        <w:rPr>
          <w:rFonts w:ascii="Times New Roman" w:eastAsia="Times New Roman" w:hAnsi="Times New Roman" w:cs="Times New Roman"/>
          <w:b/>
          <w:sz w:val="24"/>
          <w:szCs w:val="24"/>
        </w:rPr>
      </w:pPr>
    </w:p>
    <w:p w14:paraId="2B3C5EB7"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B.2. Paydaş Katılımı</w:t>
      </w:r>
      <w:r w:rsidRPr="0082199E">
        <w:rPr>
          <w:rFonts w:ascii="Times New Roman" w:eastAsia="Times New Roman" w:hAnsi="Times New Roman" w:cs="Times New Roman"/>
          <w:b/>
          <w:i/>
          <w:sz w:val="24"/>
          <w:szCs w:val="24"/>
        </w:rPr>
        <w:t xml:space="preserve"> </w:t>
      </w:r>
    </w:p>
    <w:p w14:paraId="2B3C5EB8"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görüşlerinin alınması sürecinde kullanılan veri toplama araçları ve yöntemi (Anketler, odak grup toplantıları, çalıştaylar, bilgi yönetim sistemi vb.)</w:t>
      </w:r>
    </w:p>
    <w:p w14:paraId="2B3C5EB9"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Karar alma süreçlerinde paydaş katılımının sağlandığını gösteren belgeler</w:t>
      </w:r>
    </w:p>
    <w:p w14:paraId="2B3C5EBA"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katılım mekanizmalarının işleyişine ilişkin izleme ve iyileştirme kanıtları</w:t>
      </w:r>
    </w:p>
    <w:p w14:paraId="2B3C5EBB"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bildirimi elde etmeye ilişkin ilke ve kurallar</w:t>
      </w:r>
    </w:p>
    <w:p w14:paraId="2B3C5EBC"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Tanımlı öğrenci geri bildirim mekanizmalarının tür, yöntem ve çeşitliliğini gösteren kanıtlar (Uzaktan/karma eğitim dahil)</w:t>
      </w:r>
    </w:p>
    <w:p w14:paraId="2B3C5EBD"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bildirimleri kapsamında gerçekleştirilen iyileştirmelere ilişkin uygulamalar</w:t>
      </w:r>
    </w:p>
    <w:p w14:paraId="2B3C5EBE"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 mekanizmasının izlenmesi ve iyileştirilmesine yönelik kanıtlar</w:t>
      </w:r>
    </w:p>
    <w:p w14:paraId="2B3C5EBF"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Öğrencilerin karar alma mekanizmalarına katılımı örnekleri</w:t>
      </w:r>
      <w:bookmarkStart w:id="1" w:name="_30j0zll" w:colFirst="0" w:colLast="0"/>
      <w:bookmarkEnd w:id="1"/>
    </w:p>
    <w:p w14:paraId="2B3C5EC0" w14:textId="77777777" w:rsidR="000F6023"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Mezun izleme sistemi kapsamında programlarda gerçekleştirilen güncelleme çalışmaları</w:t>
      </w:r>
    </w:p>
    <w:p w14:paraId="2B3C5EC1"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EC2"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color w:val="FF0000"/>
          <w:sz w:val="32"/>
          <w:szCs w:val="32"/>
        </w:rPr>
      </w:pPr>
      <w:r w:rsidRPr="0082199E">
        <w:rPr>
          <w:rFonts w:ascii="Times New Roman" w:eastAsia="Times New Roman" w:hAnsi="Times New Roman" w:cs="Times New Roman"/>
          <w:b/>
          <w:color w:val="2E75B5"/>
          <w:sz w:val="32"/>
          <w:szCs w:val="32"/>
        </w:rPr>
        <w:t xml:space="preserve">C. EĞİTİM VE ÖĞRETİM </w:t>
      </w:r>
    </w:p>
    <w:p w14:paraId="2B3C5EC3" w14:textId="77777777" w:rsidR="000F6023" w:rsidRPr="0082199E" w:rsidRDefault="001D06F2">
      <w:pPr>
        <w:spacing w:after="120" w:line="240" w:lineRule="auto"/>
        <w:jc w:val="both"/>
        <w:rPr>
          <w:rFonts w:ascii="Times New Roman" w:eastAsia="Times New Roman" w:hAnsi="Times New Roman" w:cs="Times New Roman"/>
          <w:i/>
        </w:rPr>
      </w:pPr>
      <w:r w:rsidRPr="0082199E">
        <w:rPr>
          <w:rFonts w:ascii="Times New Roman" w:eastAsia="Times New Roman" w:hAnsi="Times New Roman" w:cs="Times New Roman"/>
          <w:i/>
        </w:rPr>
        <w:t>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2B3C5EC4" w14:textId="77777777" w:rsidR="000F6023" w:rsidRPr="0082199E" w:rsidRDefault="000F6023">
      <w:pPr>
        <w:spacing w:after="120" w:line="240" w:lineRule="auto"/>
        <w:jc w:val="both"/>
        <w:rPr>
          <w:rFonts w:ascii="Times New Roman" w:eastAsia="Times New Roman" w:hAnsi="Times New Roman" w:cs="Times New Roman"/>
          <w:i/>
        </w:rPr>
      </w:pPr>
    </w:p>
    <w:p w14:paraId="2B3C5EC5" w14:textId="77777777" w:rsidR="00197989" w:rsidRPr="0082199E" w:rsidRDefault="00197989">
      <w:pPr>
        <w:spacing w:after="120" w:line="240" w:lineRule="auto"/>
        <w:jc w:val="both"/>
        <w:rPr>
          <w:rFonts w:ascii="Times New Roman" w:eastAsia="Times New Roman" w:hAnsi="Times New Roman" w:cs="Times New Roman"/>
          <w:i/>
        </w:rPr>
      </w:pPr>
    </w:p>
    <w:p w14:paraId="2B3C5EC6" w14:textId="77777777" w:rsidR="000F6023" w:rsidRPr="0082199E" w:rsidRDefault="001D06F2" w:rsidP="006E4FF1">
      <w:pPr>
        <w:widowControl w:val="0"/>
        <w:spacing w:after="0" w:line="360" w:lineRule="auto"/>
        <w:ind w:left="510" w:right="62" w:hanging="391"/>
        <w:jc w:val="both"/>
        <w:rPr>
          <w:rFonts w:ascii="Times New Roman" w:eastAsia="Times New Roman" w:hAnsi="Times New Roman" w:cs="Times New Roman"/>
          <w:b/>
          <w:i/>
          <w:color w:val="FF0000"/>
          <w:sz w:val="24"/>
          <w:szCs w:val="24"/>
        </w:rPr>
      </w:pPr>
      <w:r w:rsidRPr="0082199E">
        <w:rPr>
          <w:rFonts w:ascii="Times New Roman" w:eastAsia="Times New Roman" w:hAnsi="Times New Roman" w:cs="Times New Roman"/>
          <w:b/>
          <w:sz w:val="24"/>
          <w:szCs w:val="24"/>
        </w:rPr>
        <w:lastRenderedPageBreak/>
        <w:t>C.1. Programların Tasarımı, Değerlendirilmesi ve Güncellenmesi</w:t>
      </w:r>
    </w:p>
    <w:p w14:paraId="2B3C5EC7" w14:textId="77777777" w:rsidR="00ED3A9F" w:rsidRPr="0082199E" w:rsidRDefault="00ED3A9F" w:rsidP="00ED3A9F">
      <w:pPr>
        <w:widowControl w:val="0"/>
        <w:pBdr>
          <w:top w:val="nil"/>
          <w:left w:val="nil"/>
          <w:bottom w:val="nil"/>
          <w:right w:val="nil"/>
          <w:between w:val="nil"/>
        </w:pBdr>
        <w:spacing w:after="0" w:line="276" w:lineRule="auto"/>
        <w:ind w:right="63"/>
        <w:jc w:val="both"/>
        <w:rPr>
          <w:rFonts w:ascii="Times New Roman" w:hAnsi="Times New Roman" w:cs="Times New Roman"/>
          <w:b/>
          <w:color w:val="000000"/>
        </w:rPr>
      </w:pPr>
      <w:r w:rsidRPr="0082199E">
        <w:rPr>
          <w:rFonts w:ascii="Times New Roman" w:hAnsi="Times New Roman" w:cs="Times New Roman"/>
          <w:b/>
          <w:color w:val="000000"/>
        </w:rPr>
        <w:tab/>
      </w:r>
      <w:r w:rsidRPr="0082199E">
        <w:rPr>
          <w:rFonts w:ascii="Times New Roman" w:eastAsia="Times New Roman" w:hAnsi="Times New Roman" w:cs="Times New Roman"/>
          <w:b/>
          <w:color w:val="000000"/>
        </w:rPr>
        <w:t>Program tasarımı ve onayı</w:t>
      </w:r>
    </w:p>
    <w:p w14:paraId="2B3C5EC8" w14:textId="77777777" w:rsidR="00D163BD" w:rsidRPr="0082199E" w:rsidRDefault="001D06F2" w:rsidP="00BA76FD">
      <w:pPr>
        <w:pStyle w:val="ListeParagraf"/>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tasarımı ve onayı için kullanılan tanımlı süreçler ile yönetsel ve organizasyonel yapı (Eğitim politikasıyla uyumu, el kitabı, kılavuz, usul ve esaslar, komisyonlar, süreç sorumluları, süreç akışı vb.)</w:t>
      </w:r>
    </w:p>
    <w:p w14:paraId="2B3C5EC9"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Program amaç ve çıktılarının TYYÇ ile uyumunu gösteren kanıtlar </w:t>
      </w:r>
    </w:p>
    <w:p w14:paraId="2B3C5ECA"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Uzaktan-karma program tasarımında bölüm/alan bazlı uygulama çeşitliliğine ilişkin kanıtlar (bölümlerin farklı uzaktan eğitim taleplerinin dikkate alındığına ilişkin kanıtlar vb.) </w:t>
      </w:r>
    </w:p>
    <w:p w14:paraId="2B3C5ECB" w14:textId="77777777" w:rsidR="00BA76FD" w:rsidRPr="0082199E" w:rsidRDefault="001D06F2" w:rsidP="00BA76FD">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 süreçlerine paydaş katılımını gösteren, tasarım ve onay sürecinin izlendiği ve iyileştirildiğine ilişkin kanıtlar</w:t>
      </w:r>
    </w:p>
    <w:p w14:paraId="2B3C5ECC" w14:textId="77777777" w:rsidR="00BA76FD" w:rsidRPr="0082199E" w:rsidRDefault="00BA76FD" w:rsidP="00BA76FD">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ECD" w14:textId="77777777" w:rsidR="00BA76FD" w:rsidRPr="0082199E" w:rsidRDefault="00BA76FD" w:rsidP="00BA76FD">
      <w:pPr>
        <w:spacing w:after="0" w:line="240" w:lineRule="auto"/>
        <w:ind w:left="360" w:firstLine="348"/>
        <w:rPr>
          <w:rFonts w:ascii="Times New Roman" w:eastAsia="CamberW04-Regular" w:hAnsi="Times New Roman" w:cs="Times New Roman"/>
          <w:b/>
        </w:rPr>
      </w:pPr>
      <w:r w:rsidRPr="0082199E">
        <w:rPr>
          <w:rFonts w:ascii="Times New Roman" w:eastAsia="CamberW04-Regular" w:hAnsi="Times New Roman" w:cs="Times New Roman"/>
          <w:b/>
        </w:rPr>
        <w:t>Programın ders dağılım dengesi</w:t>
      </w:r>
    </w:p>
    <w:p w14:paraId="2B3C5ECE" w14:textId="77777777" w:rsidR="000F6023" w:rsidRPr="0082199E" w:rsidRDefault="001D06F2" w:rsidP="00BA76FD">
      <w:pPr>
        <w:pStyle w:val="ListeParagraf"/>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dağılımına ilişkin ilke ve yöntemler ile buna ilişkin kanıtlar (Eğitim Komisyonu Kararı, Senato Kararı vb.)</w:t>
      </w:r>
    </w:p>
    <w:p w14:paraId="2B3C5ECF" w14:textId="77777777" w:rsidR="000F6023" w:rsidRPr="0082199E" w:rsidRDefault="001D06F2" w:rsidP="00BA76FD">
      <w:pPr>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İlan edilmiş ders bilgi paketlerinde ders dağılım dengesinin gözetildiğine ve ders dağılım dengesinin izlenmesine ve iyileştirilmesine ilişkin kanıtlar</w:t>
      </w:r>
    </w:p>
    <w:p w14:paraId="2B3C5ED0" w14:textId="77777777" w:rsidR="008C0D17" w:rsidRPr="0082199E" w:rsidRDefault="008C0D17" w:rsidP="008C0D17">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1" w14:textId="77777777" w:rsidR="008C0D17" w:rsidRPr="0082199E" w:rsidRDefault="008C0D17" w:rsidP="001725B3">
      <w:pPr>
        <w:spacing w:after="0" w:line="240" w:lineRule="auto"/>
        <w:ind w:left="360" w:firstLine="348"/>
        <w:rPr>
          <w:rFonts w:ascii="Times New Roman" w:eastAsia="Times New Roman" w:hAnsi="Times New Roman" w:cs="Times New Roman"/>
          <w:b/>
        </w:rPr>
      </w:pPr>
      <w:r w:rsidRPr="0082199E">
        <w:rPr>
          <w:rFonts w:ascii="Times New Roman" w:eastAsia="Times New Roman" w:hAnsi="Times New Roman" w:cs="Times New Roman"/>
          <w:b/>
        </w:rPr>
        <w:t xml:space="preserve">Ders kazanımlarının program çıktılarıyla </w:t>
      </w:r>
      <w:r w:rsidRPr="0082199E">
        <w:rPr>
          <w:rFonts w:ascii="Times New Roman" w:eastAsia="CamberW04-Regular" w:hAnsi="Times New Roman" w:cs="Times New Roman"/>
          <w:b/>
        </w:rPr>
        <w:t>uyumu</w:t>
      </w:r>
    </w:p>
    <w:p w14:paraId="2B3C5ED2" w14:textId="77777777" w:rsidR="001725B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çıktıları ve ders kazanımlarının ilişkilendirilmesi, ders kazanımların program çıktılarıyla uyumunun izlenmesine ve iyileştirilmesine ilişkin kanıtlar </w:t>
      </w:r>
    </w:p>
    <w:p w14:paraId="2B3C5ED3" w14:textId="77777777" w:rsidR="000F602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dışından alınan derslerin (örgün veya uzaktan) program çıktılarıyla uyumunu gösteren kanıtlar </w:t>
      </w:r>
    </w:p>
    <w:p w14:paraId="2B3C5ED4" w14:textId="77777777" w:rsidR="003A382C" w:rsidRPr="0082199E" w:rsidRDefault="003A382C" w:rsidP="003A382C">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5" w14:textId="77777777" w:rsidR="003A382C" w:rsidRPr="0082199E" w:rsidRDefault="003A382C" w:rsidP="00180607">
      <w:pPr>
        <w:spacing w:after="0" w:line="240" w:lineRule="auto"/>
        <w:ind w:firstLine="708"/>
        <w:rPr>
          <w:rFonts w:ascii="Times New Roman" w:eastAsia="CamberW04-Regular" w:hAnsi="Times New Roman" w:cs="Times New Roman"/>
          <w:b/>
        </w:rPr>
      </w:pPr>
      <w:r w:rsidRPr="0082199E">
        <w:rPr>
          <w:rFonts w:ascii="Times New Roman" w:eastAsia="CamberW04-Regular" w:hAnsi="Times New Roman" w:cs="Times New Roman"/>
          <w:b/>
        </w:rPr>
        <w:t>Öğrenci iş yüküne dayalı ders tasarımı</w:t>
      </w:r>
    </w:p>
    <w:p w14:paraId="2B3C5ED6" w14:textId="77777777" w:rsidR="000F6023" w:rsidRPr="0082199E" w:rsidRDefault="001D06F2" w:rsidP="00180607">
      <w:pPr>
        <w:pStyle w:val="ListeParagraf"/>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AKTS ders bilgi paketleri (Uzaktan ve karma eğitim programları dahil) </w:t>
      </w:r>
    </w:p>
    <w:p w14:paraId="2B3C5ED7"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mesleki uygulamalar, değişim programları, staj ve projeler için tanımlandığını gösteren kanıtlar</w:t>
      </w:r>
    </w:p>
    <w:p w14:paraId="2B3C5ED8"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İş yükü temelli kredilerin transferi ve tanınmasına ilişkin tanımlı süreçleri içeren belgeler, iş yükü temelli kredilerin geribildirimler doğrultusunda güncellendiğine ilişkin kanıtlar </w:t>
      </w:r>
    </w:p>
    <w:p w14:paraId="2B3C5ED9"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Programlarda öğrenci iş yükünün belirlenmesinde öğrenci katılımının sağlandığına ilişkin belgeler ve mekanizmalar </w:t>
      </w:r>
    </w:p>
    <w:p w14:paraId="2B3C5EDA"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Diploma eki</w:t>
      </w:r>
    </w:p>
    <w:p w14:paraId="2B3C5EDB" w14:textId="77777777" w:rsidR="002077E2" w:rsidRPr="0082199E" w:rsidRDefault="002077E2" w:rsidP="002077E2">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DC" w14:textId="77777777" w:rsidR="00117583" w:rsidRPr="0082199E" w:rsidRDefault="00117583" w:rsidP="00117583">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Programların izlenmesi ve güncellenmesi</w:t>
      </w:r>
    </w:p>
    <w:p w14:paraId="2B3C5EDD" w14:textId="77777777" w:rsidR="000F6023" w:rsidRPr="0082199E" w:rsidRDefault="001D06F2" w:rsidP="00117583">
      <w:pPr>
        <w:pStyle w:val="ListeParagraf"/>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izlenmesi ve güncellenmesine ilişkin periyot (yıllık ve program süresinin sonunda) ilke, kural, gösterge, plan ve uygulamalar</w:t>
      </w:r>
    </w:p>
    <w:p w14:paraId="2B3C5EDE"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Kurumun misyon, vizyon ve hedefleri doğrultusunda programlarını güncellemek üzere kurduğu mekanizma örnekleri</w:t>
      </w:r>
    </w:p>
    <w:p w14:paraId="2B3C5EDF"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 çıktılarına ulaşılıp ulaşılmadığını izleyen sistemler (Bilgi Yönetim Sistemi)</w:t>
      </w:r>
    </w:p>
    <w:p w14:paraId="2B3C5EE0"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yıllık ve program süresi temelli izlemelerden hareketle yapılan iyileştirmeler</w:t>
      </w:r>
    </w:p>
    <w:p w14:paraId="2B3C5EE1"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Yapılan iyileştirmeler ve değişiklikler konusunda paydaşların bilgilendirildiği uygulamalar</w:t>
      </w:r>
    </w:p>
    <w:p w14:paraId="2B3C5EE2"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Programın amaçlarına ulaşıp ulaşmadığına ilişkin geri bildirimler</w:t>
      </w:r>
    </w:p>
    <w:p w14:paraId="2B3C5EE3" w14:textId="77777777" w:rsidR="00AA43C4" w:rsidRPr="0082199E" w:rsidRDefault="00AA43C4" w:rsidP="00AA43C4">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E4" w14:textId="77777777" w:rsidR="00AA43C4" w:rsidRPr="0082199E" w:rsidRDefault="00AA43C4" w:rsidP="00AA43C4">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Eğitim ve öğretim süreçlerinin yönetimi</w:t>
      </w:r>
    </w:p>
    <w:p w14:paraId="2B3C5EE5"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organizasyonel yapılanma ve iş akış şemaları</w:t>
      </w:r>
    </w:p>
    <w:p w14:paraId="2B3C5EE6"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ile ölçme ve değerlendirme süreçlerinin yönetimine ilişkin ilke, kurallar ve takvim</w:t>
      </w:r>
    </w:p>
    <w:p w14:paraId="2B3C5EE7" w14:textId="77777777" w:rsidR="000F6023"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izleme ve iyileştirme kanıtları</w:t>
      </w:r>
    </w:p>
    <w:p w14:paraId="2B3C5EE8" w14:textId="77777777" w:rsidR="000F6023" w:rsidRPr="0082199E" w:rsidRDefault="000F6023">
      <w:pPr>
        <w:widowControl w:val="0"/>
        <w:spacing w:after="0" w:line="276" w:lineRule="auto"/>
        <w:ind w:left="360" w:right="63"/>
        <w:jc w:val="both"/>
        <w:rPr>
          <w:rFonts w:ascii="Times New Roman" w:eastAsia="Times New Roman" w:hAnsi="Times New Roman" w:cs="Times New Roman"/>
        </w:rPr>
      </w:pPr>
    </w:p>
    <w:p w14:paraId="2B3C5EE9"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C.2. Programların Yürütülmesi (Öğrenci Merkezli Öğrenme, Öğretme ve Değerlendirme)</w:t>
      </w:r>
    </w:p>
    <w:p w14:paraId="2B3C5EEA" w14:textId="77777777" w:rsidR="000222E5" w:rsidRPr="0082199E" w:rsidRDefault="000222E5" w:rsidP="000222E5">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Öğretim yöntem ve teknikleri</w:t>
      </w:r>
    </w:p>
    <w:p w14:paraId="2B3C5EEB" w14:textId="77777777" w:rsidR="000F6023" w:rsidRPr="0082199E" w:rsidRDefault="001D06F2" w:rsidP="000222E5">
      <w:pPr>
        <w:pStyle w:val="ListeParagraf"/>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bilgi paketlerinde öğrenci merkezli öğretim yöntemlerinin varlığı</w:t>
      </w:r>
    </w:p>
    <w:p w14:paraId="2B3C5EEC"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Uzaktan eğitime özgü öğretim materyali geliştirme ve öğretim yöntemlerine ilişkin ilkeler, mekanizmalar</w:t>
      </w:r>
    </w:p>
    <w:p w14:paraId="2B3C5EED"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lastRenderedPageBreak/>
        <w:t xml:space="preserve">Aktif ve etkileşimli öğretme yöntemlerine ilişkin tanımlı süreç ve uygulamalar  </w:t>
      </w:r>
    </w:p>
    <w:p w14:paraId="2B3C5EEE"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Eğiticilerin eğitimi program içeriğinde öğrenci merkezli öğrenme-öğretme yaklaşımına ilişkin uygulamalar </w:t>
      </w:r>
    </w:p>
    <w:p w14:paraId="2B3C5EEF" w14:textId="77777777" w:rsidR="00E646EE" w:rsidRPr="0082199E" w:rsidRDefault="00E646EE" w:rsidP="00E646EE">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0" w14:textId="77777777" w:rsidR="00E646EE" w:rsidRPr="0082199E" w:rsidRDefault="00E646EE" w:rsidP="00E646EE">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Ölçme ve değerlendirme</w:t>
      </w:r>
    </w:p>
    <w:p w14:paraId="2B3C5EF1" w14:textId="77777777" w:rsidR="000F6023" w:rsidRPr="0082199E" w:rsidRDefault="001D06F2" w:rsidP="00E646EE">
      <w:pPr>
        <w:pStyle w:val="ListeParagraf"/>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Örgün/uzaktan/karma derslerde kullanılan sınav örnekleri (programda yer verilen farklı ölçme araçlarına ilişkin)</w:t>
      </w:r>
    </w:p>
    <w:p w14:paraId="2B3C5EF2"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uygulamalarının ders kazanımları ve program yeterlilikleriyle ilişkilendirildiğini, öğrenci iş yükünü temel aldığını gösteren ders bilgi paketi örnekleri</w:t>
      </w:r>
    </w:p>
    <w:p w14:paraId="2B3C5EF3"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gruplar ve çevrimiçi sınavlar gibi özel ölçme türlerine ilişkin mekanizmalar</w:t>
      </w:r>
    </w:p>
    <w:p w14:paraId="2B3C5EF4"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Sınav güvenliği mekanizmaları </w:t>
      </w:r>
    </w:p>
    <w:p w14:paraId="2B3C5EF5"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süreçlerinde izleme ve paydaş katılımına dayalı iyileştirme kanıtları</w:t>
      </w:r>
    </w:p>
    <w:p w14:paraId="2B3C5EF6" w14:textId="77777777" w:rsidR="00855D02" w:rsidRPr="0082199E" w:rsidRDefault="00855D02" w:rsidP="00855D0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7" w14:textId="77777777" w:rsidR="00855D02" w:rsidRPr="0082199E" w:rsidRDefault="00855D02" w:rsidP="00855D0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Öğrenci kabulü, önceki öğrenmenin tanınması ve kredilendirilmesi</w:t>
      </w:r>
    </w:p>
    <w:p w14:paraId="2B3C5EF8"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kabulü, önceki öğrenmenin tanınması ve kredilendirilmesine ilişkin ilke ve kurallar </w:t>
      </w:r>
    </w:p>
    <w:p w14:paraId="2B3C5EF9"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kabulü ile ilgili uygulamaların tanımlı süreçlerle uyumuna ve sürekliliğine ilişkin kanıtlar, paydaşların bilgilendirildiği mekanizmalar</w:t>
      </w:r>
    </w:p>
    <w:p w14:paraId="2B3C5EFA"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Öğrencilerin akademik ve kariyer gelişimini izlemek diploma onayı ve yeterliliklerin sertifikalandırılmasına ilişkin tanımlı süreçler ve mevcut uygulamalar </w:t>
      </w:r>
    </w:p>
    <w:p w14:paraId="2B3C5EFB"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Merkezi yerleştirmeyle gelen öğrenci grupları dışında kalan yatay geçiş, yabancı uyruklu öğrenci sınavı (YÖS), çift anadal programı (ÇAP), </w:t>
      </w:r>
      <w:proofErr w:type="spellStart"/>
      <w:r w:rsidRPr="0082199E">
        <w:rPr>
          <w:rFonts w:ascii="Times New Roman" w:eastAsia="Times New Roman" w:hAnsi="Times New Roman" w:cs="Times New Roman"/>
          <w:color w:val="000000"/>
        </w:rPr>
        <w:t>yandal</w:t>
      </w:r>
      <w:proofErr w:type="spellEnd"/>
      <w:r w:rsidRPr="0082199E">
        <w:rPr>
          <w:rFonts w:ascii="Times New Roman" w:eastAsia="Times New Roman" w:hAnsi="Times New Roman" w:cs="Times New Roman"/>
          <w:color w:val="000000"/>
        </w:rPr>
        <w:t xml:space="preserve"> öğrenci kabullerinde uygulanan kriterler </w:t>
      </w:r>
    </w:p>
    <w:p w14:paraId="2B3C5EFC" w14:textId="77777777" w:rsidR="000F6023"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değişim programlarında herhangi bir ek çalışmaya gerek kalmaksızın tanındığını gösteren belgeler</w:t>
      </w:r>
    </w:p>
    <w:p w14:paraId="2B3C5EFD" w14:textId="77777777" w:rsidR="000F6023" w:rsidRPr="0082199E" w:rsidRDefault="000F6023">
      <w:pPr>
        <w:widowControl w:val="0"/>
        <w:spacing w:after="0" w:line="360" w:lineRule="auto"/>
        <w:ind w:right="63"/>
        <w:jc w:val="both"/>
        <w:rPr>
          <w:rFonts w:ascii="Times New Roman" w:eastAsia="Times New Roman" w:hAnsi="Times New Roman" w:cs="Times New Roman"/>
        </w:rPr>
      </w:pPr>
    </w:p>
    <w:p w14:paraId="0A152F72" w14:textId="77777777" w:rsidR="00305B4A" w:rsidRPr="00305B4A" w:rsidRDefault="00305B4A" w:rsidP="00305B4A">
      <w:pPr>
        <w:spacing w:after="200" w:line="276" w:lineRule="auto"/>
        <w:ind w:left="118" w:hanging="118"/>
        <w:jc w:val="center"/>
        <w:rPr>
          <w:rFonts w:ascii="Times New Roman" w:eastAsia="Times New Roman" w:hAnsi="Times New Roman" w:cs="Times New Roman"/>
          <w:b/>
          <w:sz w:val="20"/>
          <w:szCs w:val="20"/>
          <w:lang w:eastAsia="en-US"/>
        </w:rPr>
      </w:pPr>
      <w:bookmarkStart w:id="2" w:name="_1fob9te" w:colFirst="0" w:colLast="0"/>
      <w:bookmarkEnd w:id="2"/>
      <w:r w:rsidRPr="00305B4A">
        <w:rPr>
          <w:rFonts w:ascii="Times New Roman" w:eastAsia="Times New Roman" w:hAnsi="Times New Roman" w:cs="Times New Roman"/>
          <w:b/>
          <w:sz w:val="20"/>
          <w:szCs w:val="20"/>
          <w:lang w:eastAsia="en-US"/>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8"/>
        <w:gridCol w:w="1118"/>
        <w:gridCol w:w="1115"/>
        <w:gridCol w:w="972"/>
        <w:gridCol w:w="1236"/>
        <w:gridCol w:w="1236"/>
        <w:gridCol w:w="999"/>
        <w:gridCol w:w="1074"/>
      </w:tblGrid>
      <w:tr w:rsidR="00305B4A" w:rsidRPr="00305B4A" w14:paraId="009E24C0" w14:textId="77777777" w:rsidTr="00305B4A">
        <w:trPr>
          <w:trHeight w:val="307"/>
        </w:trPr>
        <w:tc>
          <w:tcPr>
            <w:tcW w:w="975" w:type="pct"/>
            <w:vMerge w:val="restart"/>
            <w:vAlign w:val="center"/>
          </w:tcPr>
          <w:p w14:paraId="69C9E9F9"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Bölüm/Program Adı</w:t>
            </w:r>
          </w:p>
        </w:tc>
        <w:tc>
          <w:tcPr>
            <w:tcW w:w="580" w:type="pct"/>
            <w:vMerge w:val="restart"/>
            <w:vAlign w:val="center"/>
          </w:tcPr>
          <w:p w14:paraId="0221F331"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Akademik Yıl</w:t>
            </w:r>
          </w:p>
        </w:tc>
        <w:tc>
          <w:tcPr>
            <w:tcW w:w="579" w:type="pct"/>
            <w:vMerge w:val="restart"/>
            <w:vAlign w:val="center"/>
          </w:tcPr>
          <w:p w14:paraId="6B7B4A55"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Kontenjan</w:t>
            </w:r>
          </w:p>
        </w:tc>
        <w:tc>
          <w:tcPr>
            <w:tcW w:w="505" w:type="pct"/>
            <w:vMerge w:val="restart"/>
            <w:vAlign w:val="center"/>
          </w:tcPr>
          <w:p w14:paraId="73DF8D2C"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Kayıt Yaptıran Öğrenci Sayısı</w:t>
            </w:r>
          </w:p>
        </w:tc>
        <w:tc>
          <w:tcPr>
            <w:tcW w:w="1284" w:type="pct"/>
            <w:gridSpan w:val="2"/>
            <w:tcBorders>
              <w:bottom w:val="single" w:sz="4" w:space="0" w:color="000000"/>
            </w:tcBorders>
            <w:vAlign w:val="center"/>
          </w:tcPr>
          <w:p w14:paraId="6237D049"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YKS Puanı</w:t>
            </w:r>
          </w:p>
        </w:tc>
        <w:tc>
          <w:tcPr>
            <w:tcW w:w="1078" w:type="pct"/>
            <w:gridSpan w:val="2"/>
            <w:tcBorders>
              <w:bottom w:val="single" w:sz="4" w:space="0" w:color="000000"/>
            </w:tcBorders>
            <w:vAlign w:val="center"/>
          </w:tcPr>
          <w:p w14:paraId="123E71BD"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YKS Başarı Sırası</w:t>
            </w:r>
          </w:p>
        </w:tc>
      </w:tr>
      <w:tr w:rsidR="00305B4A" w:rsidRPr="00305B4A" w14:paraId="4897001E" w14:textId="77777777" w:rsidTr="00305B4A">
        <w:trPr>
          <w:trHeight w:val="262"/>
        </w:trPr>
        <w:tc>
          <w:tcPr>
            <w:tcW w:w="975" w:type="pct"/>
            <w:vMerge/>
            <w:vAlign w:val="center"/>
          </w:tcPr>
          <w:p w14:paraId="4DF478FF" w14:textId="77777777" w:rsidR="00305B4A" w:rsidRPr="00305B4A" w:rsidRDefault="00305B4A" w:rsidP="00305B4A">
            <w:pPr>
              <w:widowControl w:val="0"/>
              <w:pBdr>
                <w:top w:val="nil"/>
                <w:left w:val="nil"/>
                <w:bottom w:val="nil"/>
                <w:right w:val="nil"/>
                <w:between w:val="nil"/>
              </w:pBdr>
              <w:spacing w:after="200" w:line="276" w:lineRule="auto"/>
              <w:rPr>
                <w:rFonts w:ascii="Times New Roman" w:hAnsi="Times New Roman" w:cs="Times New Roman"/>
                <w:color w:val="000000"/>
                <w:sz w:val="20"/>
                <w:szCs w:val="20"/>
                <w:lang w:eastAsia="en-US"/>
              </w:rPr>
            </w:pPr>
          </w:p>
        </w:tc>
        <w:tc>
          <w:tcPr>
            <w:tcW w:w="580" w:type="pct"/>
            <w:vMerge/>
            <w:vAlign w:val="center"/>
          </w:tcPr>
          <w:p w14:paraId="36D29EAA" w14:textId="77777777" w:rsidR="00305B4A" w:rsidRPr="00305B4A" w:rsidRDefault="00305B4A" w:rsidP="00305B4A">
            <w:pPr>
              <w:widowControl w:val="0"/>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p>
        </w:tc>
        <w:tc>
          <w:tcPr>
            <w:tcW w:w="579" w:type="pct"/>
            <w:vMerge/>
            <w:vAlign w:val="center"/>
          </w:tcPr>
          <w:p w14:paraId="491D9E66" w14:textId="77777777" w:rsidR="00305B4A" w:rsidRPr="00305B4A" w:rsidRDefault="00305B4A" w:rsidP="00305B4A">
            <w:pPr>
              <w:widowControl w:val="0"/>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p>
        </w:tc>
        <w:tc>
          <w:tcPr>
            <w:tcW w:w="505" w:type="pct"/>
            <w:vMerge/>
            <w:vAlign w:val="center"/>
          </w:tcPr>
          <w:p w14:paraId="10528334" w14:textId="77777777" w:rsidR="00305B4A" w:rsidRPr="00305B4A" w:rsidRDefault="00305B4A" w:rsidP="00305B4A">
            <w:pPr>
              <w:widowControl w:val="0"/>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p>
        </w:tc>
        <w:tc>
          <w:tcPr>
            <w:tcW w:w="642" w:type="pct"/>
            <w:tcBorders>
              <w:top w:val="single" w:sz="4" w:space="0" w:color="000000"/>
            </w:tcBorders>
            <w:vAlign w:val="center"/>
          </w:tcPr>
          <w:p w14:paraId="488014B1"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En yüksek</w:t>
            </w:r>
          </w:p>
        </w:tc>
        <w:tc>
          <w:tcPr>
            <w:tcW w:w="642" w:type="pct"/>
            <w:tcBorders>
              <w:top w:val="single" w:sz="4" w:space="0" w:color="000000"/>
            </w:tcBorders>
            <w:vAlign w:val="center"/>
          </w:tcPr>
          <w:p w14:paraId="74A6A9FB"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En düşük</w:t>
            </w:r>
          </w:p>
        </w:tc>
        <w:tc>
          <w:tcPr>
            <w:tcW w:w="519" w:type="pct"/>
            <w:tcBorders>
              <w:top w:val="single" w:sz="4" w:space="0" w:color="000000"/>
            </w:tcBorders>
            <w:vAlign w:val="center"/>
          </w:tcPr>
          <w:p w14:paraId="38D400AA"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En yüksek</w:t>
            </w:r>
          </w:p>
        </w:tc>
        <w:tc>
          <w:tcPr>
            <w:tcW w:w="559" w:type="pct"/>
            <w:tcBorders>
              <w:top w:val="single" w:sz="4" w:space="0" w:color="000000"/>
            </w:tcBorders>
            <w:vAlign w:val="center"/>
          </w:tcPr>
          <w:p w14:paraId="382A449D" w14:textId="77777777" w:rsidR="00305B4A" w:rsidRPr="00305B4A" w:rsidRDefault="00305B4A" w:rsidP="00305B4A">
            <w:pPr>
              <w:pBdr>
                <w:top w:val="nil"/>
                <w:left w:val="nil"/>
                <w:bottom w:val="nil"/>
                <w:right w:val="nil"/>
                <w:between w:val="nil"/>
              </w:pBdr>
              <w:spacing w:after="200" w:line="276" w:lineRule="auto"/>
              <w:jc w:val="center"/>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En düşük</w:t>
            </w:r>
          </w:p>
        </w:tc>
      </w:tr>
      <w:tr w:rsidR="00305B4A" w:rsidRPr="00305B4A" w14:paraId="69572F12" w14:textId="77777777" w:rsidTr="00305B4A">
        <w:trPr>
          <w:trHeight w:val="258"/>
        </w:trPr>
        <w:tc>
          <w:tcPr>
            <w:tcW w:w="975" w:type="pct"/>
            <w:vMerge w:val="restart"/>
            <w:vAlign w:val="center"/>
          </w:tcPr>
          <w:p w14:paraId="730F6805" w14:textId="77777777" w:rsid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p>
          <w:p w14:paraId="5353FFDC" w14:textId="25095BB1"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İKTİSAT BÖLÜMÜ</w:t>
            </w:r>
          </w:p>
          <w:p w14:paraId="63EC6ADE" w14:textId="583040AA"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p>
        </w:tc>
        <w:tc>
          <w:tcPr>
            <w:tcW w:w="580" w:type="pct"/>
            <w:vAlign w:val="center"/>
          </w:tcPr>
          <w:p w14:paraId="7FCCBD08"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color w:val="000000"/>
                <w:sz w:val="20"/>
                <w:szCs w:val="20"/>
                <w:lang w:eastAsia="en-US"/>
              </w:rPr>
              <w:t>2024-2025</w:t>
            </w:r>
          </w:p>
        </w:tc>
        <w:tc>
          <w:tcPr>
            <w:tcW w:w="579" w:type="pct"/>
            <w:vAlign w:val="center"/>
          </w:tcPr>
          <w:p w14:paraId="6C7CDBCE"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64</w:t>
            </w:r>
          </w:p>
        </w:tc>
        <w:tc>
          <w:tcPr>
            <w:tcW w:w="505" w:type="pct"/>
            <w:vAlign w:val="center"/>
          </w:tcPr>
          <w:p w14:paraId="0D097070"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62</w:t>
            </w:r>
          </w:p>
        </w:tc>
        <w:tc>
          <w:tcPr>
            <w:tcW w:w="642" w:type="pct"/>
            <w:vAlign w:val="center"/>
          </w:tcPr>
          <w:p w14:paraId="3E2B433E"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color w:val="000000"/>
                <w:sz w:val="20"/>
                <w:szCs w:val="20"/>
                <w:lang w:eastAsia="en-US"/>
              </w:rPr>
              <w:t>330,12338</w:t>
            </w:r>
          </w:p>
        </w:tc>
        <w:tc>
          <w:tcPr>
            <w:tcW w:w="642" w:type="pct"/>
            <w:vAlign w:val="center"/>
          </w:tcPr>
          <w:p w14:paraId="1CBF711A"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230,98352</w:t>
            </w:r>
          </w:p>
        </w:tc>
        <w:tc>
          <w:tcPr>
            <w:tcW w:w="519" w:type="pct"/>
            <w:vAlign w:val="center"/>
          </w:tcPr>
          <w:p w14:paraId="7762A22C"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191.299</w:t>
            </w:r>
          </w:p>
        </w:tc>
        <w:tc>
          <w:tcPr>
            <w:tcW w:w="559" w:type="pct"/>
            <w:vAlign w:val="center"/>
          </w:tcPr>
          <w:p w14:paraId="1DF466E0"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p>
          <w:p w14:paraId="441B60A3"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color w:val="000000"/>
                <w:sz w:val="20"/>
                <w:szCs w:val="20"/>
                <w:lang w:eastAsia="en-US"/>
              </w:rPr>
              <w:t>1.090.217</w:t>
            </w:r>
            <w:r w:rsidRPr="00305B4A">
              <w:rPr>
                <w:rFonts w:ascii="Times New Roman" w:hAnsi="Times New Roman" w:cs="Times New Roman"/>
                <w:color w:val="000000"/>
                <w:sz w:val="20"/>
                <w:szCs w:val="20"/>
                <w:lang w:eastAsia="en-US"/>
              </w:rPr>
              <w:tab/>
            </w:r>
          </w:p>
        </w:tc>
      </w:tr>
      <w:tr w:rsidR="00305B4A" w:rsidRPr="00305B4A" w14:paraId="6FD52D61" w14:textId="77777777" w:rsidTr="00305B4A">
        <w:trPr>
          <w:trHeight w:val="258"/>
        </w:trPr>
        <w:tc>
          <w:tcPr>
            <w:tcW w:w="975" w:type="pct"/>
            <w:vMerge/>
            <w:vAlign w:val="center"/>
          </w:tcPr>
          <w:p w14:paraId="50B5A7EB" w14:textId="00F1B25B"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p>
        </w:tc>
        <w:tc>
          <w:tcPr>
            <w:tcW w:w="580" w:type="pct"/>
            <w:vAlign w:val="center"/>
          </w:tcPr>
          <w:p w14:paraId="63F7CF2A"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2023-2024</w:t>
            </w:r>
          </w:p>
        </w:tc>
        <w:tc>
          <w:tcPr>
            <w:tcW w:w="579" w:type="pct"/>
            <w:vAlign w:val="center"/>
          </w:tcPr>
          <w:p w14:paraId="34D37492"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42</w:t>
            </w:r>
          </w:p>
        </w:tc>
        <w:tc>
          <w:tcPr>
            <w:tcW w:w="505" w:type="pct"/>
            <w:vAlign w:val="center"/>
          </w:tcPr>
          <w:p w14:paraId="2F2BD79D"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41</w:t>
            </w:r>
          </w:p>
        </w:tc>
        <w:tc>
          <w:tcPr>
            <w:tcW w:w="642" w:type="pct"/>
            <w:vAlign w:val="center"/>
          </w:tcPr>
          <w:p w14:paraId="3FFB5BF4"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311,26115</w:t>
            </w:r>
          </w:p>
        </w:tc>
        <w:tc>
          <w:tcPr>
            <w:tcW w:w="642" w:type="pct"/>
            <w:vAlign w:val="center"/>
          </w:tcPr>
          <w:p w14:paraId="29038924"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236,41196</w:t>
            </w:r>
          </w:p>
        </w:tc>
        <w:tc>
          <w:tcPr>
            <w:tcW w:w="519" w:type="pct"/>
            <w:vAlign w:val="center"/>
          </w:tcPr>
          <w:p w14:paraId="07B0FA55"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338.667</w:t>
            </w:r>
          </w:p>
        </w:tc>
        <w:tc>
          <w:tcPr>
            <w:tcW w:w="559" w:type="pct"/>
            <w:vAlign w:val="center"/>
          </w:tcPr>
          <w:p w14:paraId="2B803099"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1.057.927</w:t>
            </w:r>
          </w:p>
        </w:tc>
      </w:tr>
      <w:tr w:rsidR="00305B4A" w:rsidRPr="00305B4A" w14:paraId="5A2A7923" w14:textId="77777777" w:rsidTr="00305B4A">
        <w:trPr>
          <w:trHeight w:val="258"/>
        </w:trPr>
        <w:tc>
          <w:tcPr>
            <w:tcW w:w="975" w:type="pct"/>
            <w:vMerge/>
            <w:vAlign w:val="center"/>
          </w:tcPr>
          <w:p w14:paraId="603ACD3C" w14:textId="34F60DE0"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p>
        </w:tc>
        <w:tc>
          <w:tcPr>
            <w:tcW w:w="580" w:type="pct"/>
            <w:vAlign w:val="center"/>
          </w:tcPr>
          <w:p w14:paraId="4AE05F52"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color w:val="000000"/>
                <w:sz w:val="20"/>
                <w:szCs w:val="20"/>
                <w:lang w:eastAsia="en-US"/>
              </w:rPr>
              <w:t>2022-2023</w:t>
            </w:r>
          </w:p>
        </w:tc>
        <w:tc>
          <w:tcPr>
            <w:tcW w:w="579" w:type="pct"/>
          </w:tcPr>
          <w:p w14:paraId="1CB5B58B"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sz w:val="20"/>
                <w:szCs w:val="20"/>
                <w:lang w:eastAsia="en-US"/>
              </w:rPr>
              <w:t>31</w:t>
            </w:r>
          </w:p>
        </w:tc>
        <w:tc>
          <w:tcPr>
            <w:tcW w:w="505" w:type="pct"/>
          </w:tcPr>
          <w:p w14:paraId="0202466E"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highlight w:val="yellow"/>
                <w:lang w:eastAsia="en-US"/>
              </w:rPr>
            </w:pPr>
            <w:r w:rsidRPr="00305B4A">
              <w:rPr>
                <w:rFonts w:ascii="Times New Roman" w:hAnsi="Times New Roman" w:cs="Times New Roman"/>
                <w:sz w:val="20"/>
                <w:szCs w:val="20"/>
                <w:lang w:eastAsia="en-US"/>
              </w:rPr>
              <w:t>31</w:t>
            </w:r>
          </w:p>
        </w:tc>
        <w:tc>
          <w:tcPr>
            <w:tcW w:w="642" w:type="pct"/>
          </w:tcPr>
          <w:p w14:paraId="2C548E87"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293,06163</w:t>
            </w:r>
          </w:p>
        </w:tc>
        <w:tc>
          <w:tcPr>
            <w:tcW w:w="642" w:type="pct"/>
          </w:tcPr>
          <w:p w14:paraId="42EC9D19"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237,74569</w:t>
            </w:r>
          </w:p>
        </w:tc>
        <w:tc>
          <w:tcPr>
            <w:tcW w:w="519" w:type="pct"/>
            <w:vAlign w:val="center"/>
          </w:tcPr>
          <w:p w14:paraId="0A53A093"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457.737</w:t>
            </w:r>
          </w:p>
        </w:tc>
        <w:tc>
          <w:tcPr>
            <w:tcW w:w="559" w:type="pct"/>
            <w:vAlign w:val="center"/>
          </w:tcPr>
          <w:p w14:paraId="4543EEBC" w14:textId="77777777" w:rsidR="00305B4A" w:rsidRPr="00305B4A" w:rsidRDefault="00305B4A" w:rsidP="00305B4A">
            <w:pPr>
              <w:pBdr>
                <w:top w:val="nil"/>
                <w:left w:val="nil"/>
                <w:bottom w:val="nil"/>
                <w:right w:val="nil"/>
                <w:between w:val="nil"/>
              </w:pBdr>
              <w:spacing w:after="200" w:line="276" w:lineRule="auto"/>
              <w:rPr>
                <w:rFonts w:ascii="Times New Roman" w:hAnsi="Times New Roman" w:cs="Times New Roman"/>
                <w:color w:val="000000"/>
                <w:sz w:val="20"/>
                <w:szCs w:val="20"/>
                <w:lang w:eastAsia="en-US"/>
              </w:rPr>
            </w:pPr>
            <w:r w:rsidRPr="00305B4A">
              <w:rPr>
                <w:rFonts w:ascii="Times New Roman" w:hAnsi="Times New Roman" w:cs="Times New Roman"/>
                <w:color w:val="000000"/>
                <w:sz w:val="20"/>
                <w:szCs w:val="20"/>
                <w:lang w:eastAsia="en-US"/>
              </w:rPr>
              <w:t>1.036.856</w:t>
            </w:r>
          </w:p>
        </w:tc>
      </w:tr>
    </w:tbl>
    <w:p w14:paraId="2B3C5F21" w14:textId="77777777" w:rsidR="000F6023" w:rsidRPr="0082199E" w:rsidRDefault="000F6023">
      <w:pPr>
        <w:widowControl w:val="0"/>
        <w:spacing w:after="0" w:line="360" w:lineRule="auto"/>
        <w:ind w:left="507" w:right="63" w:hanging="389"/>
        <w:jc w:val="both"/>
        <w:rPr>
          <w:rFonts w:ascii="Times New Roman" w:eastAsia="Times New Roman" w:hAnsi="Times New Roman" w:cs="Times New Roman"/>
          <w:sz w:val="24"/>
          <w:szCs w:val="24"/>
        </w:rPr>
      </w:pPr>
    </w:p>
    <w:p w14:paraId="2B3C5F22"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C.3. Öğrenme Kaynakları ve Akademik Destek Hizmetleri </w:t>
      </w:r>
      <w:r w:rsidRPr="0082199E">
        <w:rPr>
          <w:rFonts w:ascii="Times New Roman" w:eastAsia="Times New Roman" w:hAnsi="Times New Roman" w:cs="Times New Roman"/>
          <w:b/>
          <w:color w:val="FF0000"/>
          <w:sz w:val="24"/>
          <w:szCs w:val="24"/>
        </w:rPr>
        <w:t xml:space="preserve"> </w:t>
      </w:r>
    </w:p>
    <w:p w14:paraId="2B3C5F23"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Öğrenme ortam ve kaynakları</w:t>
      </w:r>
    </w:p>
    <w:p w14:paraId="2B3C5F24"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Öğrenme kaynakları, öğrenme kaynaklarına erişilebilirlik ve bu kaynakların yeterlilik durumuna, geliştirilmesine ilişkin planlamalar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(Uzaktan eğitim dahil)</w:t>
      </w:r>
    </w:p>
    <w:p w14:paraId="2B3C5F25"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Öğrenme yönetim sistemi uygulamalarına ilişkin örnekler </w:t>
      </w:r>
    </w:p>
    <w:p w14:paraId="2B3C5F26" w14:textId="77777777" w:rsidR="000F6023"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Öğrencilere sunulan öğrenme kaynakları ile ilgili öğrenci geri bildirim araçları (anketler vb.), öğrenme kaynaklarının düzenli iyileştirildiğine ilişkin kanıtlar</w:t>
      </w:r>
    </w:p>
    <w:p w14:paraId="2B3C5F27" w14:textId="77777777" w:rsidR="001E694F" w:rsidRPr="0082199E" w:rsidRDefault="001E694F" w:rsidP="001E694F">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28"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Akademik destek hizmetleri</w:t>
      </w:r>
    </w:p>
    <w:p w14:paraId="2B3C5F29"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danışmanlık sisteminde kullanılan tanımlı süreçler </w:t>
      </w:r>
    </w:p>
    <w:p w14:paraId="2B3C5F2A"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Varsa uzaktan eğitimde akademik ve teknik öğrenci danışmanlığı mekanizmaları ve tanımlı süreçler</w:t>
      </w:r>
    </w:p>
    <w:p w14:paraId="2B3C5F2B"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Öğrencilerin danışmanlara erişimine ilişkin mekanizmalar</w:t>
      </w:r>
    </w:p>
    <w:p w14:paraId="2B3C5F2C"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lastRenderedPageBreak/>
        <w:t>Rehberlik ve kariyer hizmetlerine ilişkin planlama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öğrencilere sunulan hizmetlerle ilgili öğrenci geri bildirim araçları (anketler vb.) sonuçları</w:t>
      </w:r>
    </w:p>
    <w:p w14:paraId="2B3C5F2D" w14:textId="77777777" w:rsidR="0051390A" w:rsidRPr="0082199E" w:rsidRDefault="0051390A"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E"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F"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30" w14:textId="77777777" w:rsidR="0051390A" w:rsidRPr="0082199E" w:rsidRDefault="0051390A" w:rsidP="0051390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Tesis ve altyapılar</w:t>
      </w:r>
    </w:p>
    <w:p w14:paraId="2B3C5F31" w14:textId="77777777" w:rsidR="000F6023" w:rsidRPr="0082199E" w:rsidRDefault="001D06F2" w:rsidP="0051390A">
      <w:pPr>
        <w:pStyle w:val="ListeParagraf"/>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Birimdeki tesis ve altyapının kullanımına yönelik ilke ve kurallar, erişim ve kullanıma ilişkin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bunların kurumsal büyüme ile ilişkili olarak gelişim durumu ve iyileştirilmesine ilişkin kanıtlar</w:t>
      </w:r>
    </w:p>
    <w:p w14:paraId="2B3C5F32" w14:textId="77777777" w:rsidR="000F6023" w:rsidRPr="0082199E" w:rsidRDefault="001D06F2" w:rsidP="0051390A">
      <w:pPr>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Kurumda uzaktan eğitim programları ve uygulamaları varsa; bunlara yönelik alt yapı, tesis, donanım ve yazılım durumları</w:t>
      </w:r>
    </w:p>
    <w:p w14:paraId="2B3C5F33" w14:textId="77777777" w:rsidR="00ED2AC4" w:rsidRPr="0082199E" w:rsidRDefault="00ED2AC4" w:rsidP="00ED2AC4">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34" w14:textId="77777777" w:rsidR="00ED2AC4" w:rsidRPr="0082199E" w:rsidRDefault="00ED2AC4" w:rsidP="00ED2AC4">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Dezavantajlı gruplar</w:t>
      </w:r>
      <w:r w:rsidR="000F0CC0" w:rsidRPr="0082199E">
        <w:rPr>
          <w:rFonts w:ascii="Times New Roman" w:eastAsia="Times New Roman" w:hAnsi="Times New Roman" w:cs="Times New Roman"/>
          <w:b/>
          <w:color w:val="000000"/>
        </w:rPr>
        <w:t xml:space="preserve"> ile sosyokültürel faaliyetler </w:t>
      </w:r>
    </w:p>
    <w:p w14:paraId="2B3C5F35" w14:textId="77777777" w:rsidR="000F6023" w:rsidRPr="0082199E" w:rsidRDefault="001D06F2" w:rsidP="000F0CC0">
      <w:pPr>
        <w:pStyle w:val="ListeParagraf"/>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öğrenci gruplarına sunulacak hizmetlerle ilgili planlama ve uygulamalar (Kurullarda temsil, engelsiz üniversite uygulamaları, varsa uzaktan eğitim süreçlerindeki uygulamalar vb.)</w:t>
      </w:r>
    </w:p>
    <w:p w14:paraId="2B3C5F36" w14:textId="77777777" w:rsidR="000F6023" w:rsidRPr="0082199E" w:rsidRDefault="001D06F2" w:rsidP="000F0CC0">
      <w:pPr>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Yıl içerisinde öğrencilere yönelik yıllık sportif, kültürel, sosyal faaliyetlerin listesi (Faaliyet türü, konusu, katılımcı sayısı vb. bilgilerle)</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faaliyetlerin erişilebilirliği ve fırsat eşitliğini gözettiğine dair kanıt örnekleri</w:t>
      </w:r>
    </w:p>
    <w:p w14:paraId="2B3C5F37" w14:textId="77777777" w:rsidR="000F6023" w:rsidRPr="0082199E" w:rsidRDefault="000F6023">
      <w:pPr>
        <w:widowControl w:val="0"/>
        <w:spacing w:after="0" w:line="240" w:lineRule="auto"/>
        <w:ind w:right="62"/>
        <w:jc w:val="both"/>
        <w:rPr>
          <w:rFonts w:ascii="Times New Roman" w:eastAsia="Times New Roman" w:hAnsi="Times New Roman" w:cs="Times New Roman"/>
          <w:b/>
          <w:sz w:val="24"/>
          <w:szCs w:val="24"/>
        </w:rPr>
      </w:pPr>
    </w:p>
    <w:p w14:paraId="2B3C5F38" w14:textId="77777777" w:rsidR="000F6023" w:rsidRPr="0082199E" w:rsidRDefault="001D06F2" w:rsidP="00F55554">
      <w:pPr>
        <w:widowControl w:val="0"/>
        <w:spacing w:after="0" w:line="360" w:lineRule="auto"/>
        <w:ind w:left="510" w:right="62" w:hanging="391"/>
        <w:jc w:val="both"/>
        <w:rPr>
          <w:rFonts w:ascii="Times New Roman" w:eastAsia="Times New Roman" w:hAnsi="Times New Roman" w:cs="Times New Roman"/>
          <w:sz w:val="24"/>
          <w:szCs w:val="24"/>
        </w:rPr>
      </w:pPr>
      <w:r w:rsidRPr="0082199E">
        <w:rPr>
          <w:rFonts w:ascii="Times New Roman" w:eastAsia="Times New Roman" w:hAnsi="Times New Roman" w:cs="Times New Roman"/>
          <w:b/>
          <w:sz w:val="24"/>
          <w:szCs w:val="24"/>
        </w:rPr>
        <w:t>C.4. Öğretim Kadrosu</w:t>
      </w:r>
    </w:p>
    <w:p w14:paraId="2B3C5F39" w14:textId="77777777" w:rsidR="000F6023" w:rsidRPr="0082199E" w:rsidRDefault="001D06F2" w:rsidP="00825F3C">
      <w:pPr>
        <w:pStyle w:val="ListeParagraf"/>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Akademik kadronun uzmanlık alanı ile yürüttükleri ders arasında uyumun sağlanmasına yönelik uygulamalar, izleme ve iyileştirme kanıtları</w:t>
      </w:r>
    </w:p>
    <w:p w14:paraId="2B3C5F3A"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Eğiticilerin eğitimi uygulamalarına (Uzaktan eğitim uygulamaları dahil) ilişkin planlama (kapsamı, veriliş yöntemi, katılım bilgileri vb.) ve uygulamalara ilişkin kanıtlar</w:t>
      </w:r>
    </w:p>
    <w:p w14:paraId="2B3C5F3B"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yetkinliği geliştirme süreçlerine ilişkin izleme ve iyileştirme kanıtları</w:t>
      </w:r>
    </w:p>
    <w:p w14:paraId="2B3C5F3C"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Eğitim kadrosunun eğitim-öğretim performansını takdir-tanıma ve ödüllendirmek üzere yapılan planlama, uygulama ve iyileştirme kanıtları</w:t>
      </w:r>
    </w:p>
    <w:p w14:paraId="2B3C5F3D" w14:textId="77777777" w:rsidR="000F6023" w:rsidRPr="0082199E" w:rsidRDefault="000F6023">
      <w:pPr>
        <w:widowControl w:val="0"/>
        <w:spacing w:after="0" w:line="276" w:lineRule="auto"/>
        <w:ind w:left="507" w:right="63" w:hanging="389"/>
        <w:jc w:val="both"/>
        <w:rPr>
          <w:rFonts w:ascii="Times New Roman" w:eastAsia="Times New Roman" w:hAnsi="Times New Roman" w:cs="Times New Roman"/>
          <w:b/>
          <w:i/>
        </w:rPr>
      </w:pPr>
    </w:p>
    <w:p w14:paraId="355E56A3" w14:textId="77777777" w:rsidR="00305B4A" w:rsidRPr="00305B4A" w:rsidRDefault="00305B4A" w:rsidP="00305B4A">
      <w:pPr>
        <w:spacing w:after="200" w:line="276" w:lineRule="auto"/>
        <w:ind w:left="118" w:hanging="118"/>
        <w:jc w:val="center"/>
        <w:rPr>
          <w:rFonts w:ascii="Times New Roman" w:eastAsia="Times New Roman" w:hAnsi="Times New Roman" w:cs="Times New Roman"/>
          <w:b/>
          <w:sz w:val="20"/>
          <w:szCs w:val="20"/>
          <w:lang w:eastAsia="en-US"/>
        </w:rPr>
      </w:pPr>
      <w:r w:rsidRPr="00305B4A">
        <w:rPr>
          <w:rFonts w:ascii="Times New Roman" w:eastAsia="Times New Roman" w:hAnsi="Times New Roman" w:cs="Times New Roman"/>
          <w:b/>
          <w:sz w:val="20"/>
          <w:szCs w:val="20"/>
          <w:lang w:eastAsia="en-US"/>
        </w:rPr>
        <w:t>Tablo 3. Birimin Öğretim Kadrosu</w:t>
      </w:r>
    </w:p>
    <w:p w14:paraId="7F2E7A30" w14:textId="77777777" w:rsidR="00305B4A" w:rsidRPr="00305B4A" w:rsidRDefault="00305B4A" w:rsidP="00305B4A">
      <w:pPr>
        <w:spacing w:after="200" w:line="276" w:lineRule="auto"/>
        <w:ind w:left="118" w:hanging="118"/>
        <w:jc w:val="center"/>
        <w:rPr>
          <w:rFonts w:ascii="Times New Roman" w:eastAsia="Times New Roman" w:hAnsi="Times New Roman" w:cs="Times New Roman"/>
          <w:b/>
          <w:sz w:val="20"/>
          <w:szCs w:val="20"/>
          <w:lang w:eastAsia="en-US"/>
        </w:rPr>
      </w:pPr>
      <w:r w:rsidRPr="00305B4A">
        <w:rPr>
          <w:rFonts w:ascii="Times New Roman" w:eastAsia="Times New Roman" w:hAnsi="Times New Roman" w:cs="Times New Roman"/>
          <w:b/>
          <w:sz w:val="20"/>
          <w:szCs w:val="20"/>
          <w:lang w:eastAsia="en-US"/>
        </w:rPr>
        <w:t>İKTİSAT BÖLÜMÜ</w:t>
      </w:r>
    </w:p>
    <w:tbl>
      <w:tblPr>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872"/>
        <w:gridCol w:w="802"/>
        <w:gridCol w:w="804"/>
        <w:gridCol w:w="1106"/>
        <w:gridCol w:w="937"/>
        <w:gridCol w:w="866"/>
      </w:tblGrid>
      <w:tr w:rsidR="00305B4A" w:rsidRPr="00305B4A" w14:paraId="4CE4D9B3" w14:textId="77777777" w:rsidTr="00D005C3">
        <w:trPr>
          <w:trHeight w:val="778"/>
        </w:trPr>
        <w:tc>
          <w:tcPr>
            <w:tcW w:w="2866" w:type="dxa"/>
            <w:vMerge w:val="restart"/>
          </w:tcPr>
          <w:p w14:paraId="35126E83"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Öğretim Elemanının Unvanı ve Adı-Soyadı</w:t>
            </w:r>
          </w:p>
        </w:tc>
        <w:tc>
          <w:tcPr>
            <w:tcW w:w="1872" w:type="dxa"/>
            <w:vMerge w:val="restart"/>
          </w:tcPr>
          <w:p w14:paraId="1F2660CC"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 xml:space="preserve">Mezun </w:t>
            </w:r>
          </w:p>
          <w:p w14:paraId="1E5C3758"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Olduğu</w:t>
            </w:r>
          </w:p>
          <w:p w14:paraId="52C3FE83"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 xml:space="preserve"> Son Kurum ve </w:t>
            </w:r>
          </w:p>
          <w:p w14:paraId="4407D5BC"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Mezuniyet Yılı</w:t>
            </w:r>
          </w:p>
        </w:tc>
        <w:tc>
          <w:tcPr>
            <w:tcW w:w="2712" w:type="dxa"/>
            <w:gridSpan w:val="3"/>
          </w:tcPr>
          <w:p w14:paraId="7B9F6795"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Deneyim Süresi</w:t>
            </w:r>
          </w:p>
        </w:tc>
        <w:tc>
          <w:tcPr>
            <w:tcW w:w="1803" w:type="dxa"/>
            <w:gridSpan w:val="2"/>
          </w:tcPr>
          <w:p w14:paraId="2D55BA9D"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05B4A">
              <w:rPr>
                <w:rFonts w:ascii="Times New Roman" w:eastAsia="Times New Roman" w:hAnsi="Times New Roman" w:cs="Times New Roman"/>
                <w:b/>
                <w:color w:val="000000"/>
                <w:sz w:val="20"/>
                <w:szCs w:val="20"/>
              </w:rPr>
              <w:t>Ders Yükü (Haftalık Ders Saati)</w:t>
            </w:r>
          </w:p>
        </w:tc>
      </w:tr>
      <w:tr w:rsidR="00305B4A" w:rsidRPr="00305B4A" w14:paraId="7FC92D82" w14:textId="77777777" w:rsidTr="00D005C3">
        <w:trPr>
          <w:trHeight w:val="1030"/>
        </w:trPr>
        <w:tc>
          <w:tcPr>
            <w:tcW w:w="2866" w:type="dxa"/>
            <w:vMerge/>
          </w:tcPr>
          <w:p w14:paraId="02807881" w14:textId="77777777" w:rsidR="00305B4A" w:rsidRPr="00305B4A" w:rsidRDefault="00305B4A" w:rsidP="00305B4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1872" w:type="dxa"/>
            <w:vMerge/>
          </w:tcPr>
          <w:p w14:paraId="159BA37D" w14:textId="77777777" w:rsidR="00305B4A" w:rsidRPr="00305B4A" w:rsidRDefault="00305B4A" w:rsidP="00305B4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802" w:type="dxa"/>
          </w:tcPr>
          <w:p w14:paraId="0EDBB5DA"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05B4A">
              <w:rPr>
                <w:rFonts w:ascii="Times New Roman" w:eastAsia="Times New Roman" w:hAnsi="Times New Roman" w:cs="Times New Roman"/>
                <w:color w:val="000000"/>
                <w:sz w:val="20"/>
                <w:szCs w:val="20"/>
              </w:rPr>
              <w:t>Kamu/ Sanayi Deneyimi (yıl)</w:t>
            </w:r>
          </w:p>
        </w:tc>
        <w:tc>
          <w:tcPr>
            <w:tcW w:w="804" w:type="dxa"/>
          </w:tcPr>
          <w:p w14:paraId="1DDC2298"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05B4A">
              <w:rPr>
                <w:rFonts w:ascii="Times New Roman" w:eastAsia="Times New Roman" w:hAnsi="Times New Roman" w:cs="Times New Roman"/>
                <w:color w:val="000000"/>
                <w:sz w:val="20"/>
                <w:szCs w:val="20"/>
              </w:rPr>
              <w:t>Öğretim Deneyimi (yıl)</w:t>
            </w:r>
          </w:p>
        </w:tc>
        <w:tc>
          <w:tcPr>
            <w:tcW w:w="1106" w:type="dxa"/>
          </w:tcPr>
          <w:p w14:paraId="2127F61D"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05B4A">
              <w:rPr>
                <w:rFonts w:ascii="Times New Roman" w:eastAsia="Times New Roman" w:hAnsi="Times New Roman" w:cs="Times New Roman"/>
                <w:color w:val="000000"/>
                <w:sz w:val="20"/>
                <w:szCs w:val="20"/>
              </w:rPr>
              <w:t>Kurumdaki Deneyimi (yıl)</w:t>
            </w:r>
          </w:p>
        </w:tc>
        <w:tc>
          <w:tcPr>
            <w:tcW w:w="937" w:type="dxa"/>
          </w:tcPr>
          <w:p w14:paraId="151988A9"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05B4A">
              <w:rPr>
                <w:rFonts w:ascii="Times New Roman" w:eastAsia="Times New Roman" w:hAnsi="Times New Roman" w:cs="Times New Roman"/>
                <w:color w:val="000000"/>
                <w:sz w:val="20"/>
                <w:szCs w:val="20"/>
              </w:rPr>
              <w:t>2023-2024 Bahar</w:t>
            </w:r>
          </w:p>
        </w:tc>
        <w:tc>
          <w:tcPr>
            <w:tcW w:w="866" w:type="dxa"/>
          </w:tcPr>
          <w:p w14:paraId="0F9C71DF" w14:textId="77777777" w:rsidR="00305B4A" w:rsidRPr="00305B4A" w:rsidRDefault="00305B4A" w:rsidP="00305B4A">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305B4A">
              <w:rPr>
                <w:rFonts w:ascii="Times New Roman" w:eastAsia="Times New Roman" w:hAnsi="Times New Roman" w:cs="Times New Roman"/>
                <w:color w:val="000000"/>
                <w:sz w:val="20"/>
                <w:szCs w:val="20"/>
              </w:rPr>
              <w:t>2024-2025 Güz</w:t>
            </w:r>
          </w:p>
        </w:tc>
      </w:tr>
      <w:tr w:rsidR="00305B4A" w:rsidRPr="00305B4A" w14:paraId="33236684" w14:textId="77777777" w:rsidTr="00D005C3">
        <w:trPr>
          <w:trHeight w:val="257"/>
        </w:trPr>
        <w:tc>
          <w:tcPr>
            <w:tcW w:w="2866" w:type="dxa"/>
            <w:vAlign w:val="center"/>
          </w:tcPr>
          <w:p w14:paraId="63E3C897"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Prof. Dr. Fatih YÜCEL</w:t>
            </w:r>
          </w:p>
        </w:tc>
        <w:tc>
          <w:tcPr>
            <w:tcW w:w="1872" w:type="dxa"/>
            <w:vAlign w:val="center"/>
          </w:tcPr>
          <w:p w14:paraId="34932624" w14:textId="77777777" w:rsidR="00305B4A" w:rsidRPr="00305B4A" w:rsidRDefault="00305B4A" w:rsidP="00305B4A">
            <w:pPr>
              <w:spacing w:after="0" w:line="240" w:lineRule="auto"/>
              <w:jc w:val="center"/>
              <w:rPr>
                <w:rFonts w:ascii="Times New Roman" w:eastAsia="Times New Roman" w:hAnsi="Times New Roman" w:cs="Times New Roman"/>
                <w:color w:val="000000"/>
                <w:sz w:val="20"/>
                <w:szCs w:val="20"/>
                <w:shd w:val="clear" w:color="auto" w:fill="FFFFFF"/>
              </w:rPr>
            </w:pPr>
            <w:r w:rsidRPr="00305B4A">
              <w:rPr>
                <w:rFonts w:ascii="Times New Roman" w:eastAsia="Times New Roman" w:hAnsi="Times New Roman" w:cs="Times New Roman"/>
                <w:color w:val="000000"/>
                <w:sz w:val="20"/>
                <w:szCs w:val="20"/>
                <w:shd w:val="clear" w:color="auto" w:fill="FFFFFF"/>
              </w:rPr>
              <w:t>Çukurova Üniversitesi-</w:t>
            </w:r>
            <w:r w:rsidRPr="00305B4A">
              <w:rPr>
                <w:rFonts w:ascii="Times New Roman" w:eastAsia="Times New Roman" w:hAnsi="Times New Roman" w:cs="Times New Roman"/>
                <w:sz w:val="20"/>
                <w:szCs w:val="20"/>
              </w:rPr>
              <w:t>2006</w:t>
            </w:r>
          </w:p>
        </w:tc>
        <w:tc>
          <w:tcPr>
            <w:tcW w:w="802" w:type="dxa"/>
            <w:vAlign w:val="center"/>
          </w:tcPr>
          <w:p w14:paraId="0C2B126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 xml:space="preserve">1 </w:t>
            </w:r>
          </w:p>
        </w:tc>
        <w:tc>
          <w:tcPr>
            <w:tcW w:w="804" w:type="dxa"/>
            <w:vAlign w:val="center"/>
          </w:tcPr>
          <w:p w14:paraId="6B6D3B9A"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25</w:t>
            </w:r>
          </w:p>
        </w:tc>
        <w:tc>
          <w:tcPr>
            <w:tcW w:w="1106" w:type="dxa"/>
            <w:vAlign w:val="center"/>
          </w:tcPr>
          <w:p w14:paraId="58946267"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19</w:t>
            </w:r>
          </w:p>
        </w:tc>
        <w:tc>
          <w:tcPr>
            <w:tcW w:w="937" w:type="dxa"/>
            <w:vAlign w:val="center"/>
          </w:tcPr>
          <w:p w14:paraId="4F8FF32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25</w:t>
            </w:r>
          </w:p>
        </w:tc>
        <w:tc>
          <w:tcPr>
            <w:tcW w:w="866" w:type="dxa"/>
            <w:vAlign w:val="center"/>
          </w:tcPr>
          <w:p w14:paraId="606F913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28</w:t>
            </w:r>
          </w:p>
        </w:tc>
      </w:tr>
      <w:tr w:rsidR="00305B4A" w:rsidRPr="00305B4A" w14:paraId="5DC18901" w14:textId="77777777" w:rsidTr="00D005C3">
        <w:trPr>
          <w:trHeight w:val="257"/>
        </w:trPr>
        <w:tc>
          <w:tcPr>
            <w:tcW w:w="2866" w:type="dxa"/>
            <w:vAlign w:val="center"/>
          </w:tcPr>
          <w:p w14:paraId="7020A6E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Prof. Dr. Aslıhan NAKİBOĞLU</w:t>
            </w:r>
          </w:p>
        </w:tc>
        <w:tc>
          <w:tcPr>
            <w:tcW w:w="1872" w:type="dxa"/>
            <w:vAlign w:val="center"/>
          </w:tcPr>
          <w:p w14:paraId="2FAEBFC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Kocaeli üniversitesi -2011</w:t>
            </w:r>
          </w:p>
        </w:tc>
        <w:tc>
          <w:tcPr>
            <w:tcW w:w="802" w:type="dxa"/>
            <w:vAlign w:val="center"/>
          </w:tcPr>
          <w:p w14:paraId="5E01395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23</w:t>
            </w:r>
          </w:p>
        </w:tc>
        <w:tc>
          <w:tcPr>
            <w:tcW w:w="804" w:type="dxa"/>
            <w:vAlign w:val="center"/>
          </w:tcPr>
          <w:p w14:paraId="7001DA4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18</w:t>
            </w:r>
          </w:p>
        </w:tc>
        <w:tc>
          <w:tcPr>
            <w:tcW w:w="1106" w:type="dxa"/>
            <w:vAlign w:val="center"/>
          </w:tcPr>
          <w:p w14:paraId="1220CD69"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26</w:t>
            </w:r>
          </w:p>
        </w:tc>
        <w:tc>
          <w:tcPr>
            <w:tcW w:w="937" w:type="dxa"/>
            <w:vAlign w:val="center"/>
          </w:tcPr>
          <w:p w14:paraId="0F74FE5A"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22</w:t>
            </w:r>
          </w:p>
        </w:tc>
        <w:tc>
          <w:tcPr>
            <w:tcW w:w="866" w:type="dxa"/>
            <w:vAlign w:val="center"/>
          </w:tcPr>
          <w:p w14:paraId="164E87E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27</w:t>
            </w:r>
          </w:p>
        </w:tc>
      </w:tr>
      <w:tr w:rsidR="00305B4A" w:rsidRPr="00305B4A" w14:paraId="5BF88054" w14:textId="77777777" w:rsidTr="00D005C3">
        <w:trPr>
          <w:trHeight w:val="257"/>
        </w:trPr>
        <w:tc>
          <w:tcPr>
            <w:tcW w:w="2866" w:type="dxa"/>
            <w:vAlign w:val="center"/>
          </w:tcPr>
          <w:p w14:paraId="64B1D98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Prof. Dr. Okyay UÇAN</w:t>
            </w:r>
          </w:p>
        </w:tc>
        <w:tc>
          <w:tcPr>
            <w:tcW w:w="1872" w:type="dxa"/>
            <w:vAlign w:val="center"/>
          </w:tcPr>
          <w:p w14:paraId="15F22A8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Çukurova Üniversitesi-2011</w:t>
            </w:r>
          </w:p>
        </w:tc>
        <w:tc>
          <w:tcPr>
            <w:tcW w:w="802" w:type="dxa"/>
            <w:vAlign w:val="center"/>
          </w:tcPr>
          <w:p w14:paraId="0655DF13"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04" w:type="dxa"/>
            <w:vAlign w:val="center"/>
          </w:tcPr>
          <w:p w14:paraId="275B9C91"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23</w:t>
            </w:r>
          </w:p>
        </w:tc>
        <w:tc>
          <w:tcPr>
            <w:tcW w:w="1106" w:type="dxa"/>
            <w:vAlign w:val="center"/>
          </w:tcPr>
          <w:p w14:paraId="00923727"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23</w:t>
            </w:r>
          </w:p>
        </w:tc>
        <w:tc>
          <w:tcPr>
            <w:tcW w:w="937" w:type="dxa"/>
            <w:vAlign w:val="center"/>
          </w:tcPr>
          <w:p w14:paraId="045A89C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23</w:t>
            </w:r>
          </w:p>
        </w:tc>
        <w:tc>
          <w:tcPr>
            <w:tcW w:w="866" w:type="dxa"/>
            <w:vAlign w:val="center"/>
          </w:tcPr>
          <w:p w14:paraId="2064F42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27</w:t>
            </w:r>
          </w:p>
        </w:tc>
      </w:tr>
      <w:tr w:rsidR="00305B4A" w:rsidRPr="00305B4A" w14:paraId="3D8868F3" w14:textId="77777777" w:rsidTr="00D005C3">
        <w:trPr>
          <w:trHeight w:val="257"/>
        </w:trPr>
        <w:tc>
          <w:tcPr>
            <w:tcW w:w="2866" w:type="dxa"/>
            <w:vAlign w:val="center"/>
          </w:tcPr>
          <w:p w14:paraId="675FFB7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Prof. Dr. Mehmet DEMİRAL</w:t>
            </w:r>
          </w:p>
        </w:tc>
        <w:tc>
          <w:tcPr>
            <w:tcW w:w="1872" w:type="dxa"/>
            <w:vAlign w:val="center"/>
          </w:tcPr>
          <w:p w14:paraId="683F817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Çukurova Üniversitesi-2014</w:t>
            </w:r>
          </w:p>
        </w:tc>
        <w:tc>
          <w:tcPr>
            <w:tcW w:w="802" w:type="dxa"/>
            <w:vAlign w:val="center"/>
          </w:tcPr>
          <w:p w14:paraId="6757702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w:t>
            </w:r>
          </w:p>
        </w:tc>
        <w:tc>
          <w:tcPr>
            <w:tcW w:w="804" w:type="dxa"/>
            <w:vAlign w:val="center"/>
          </w:tcPr>
          <w:p w14:paraId="2076568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19</w:t>
            </w:r>
          </w:p>
        </w:tc>
        <w:tc>
          <w:tcPr>
            <w:tcW w:w="1106" w:type="dxa"/>
            <w:vAlign w:val="center"/>
          </w:tcPr>
          <w:p w14:paraId="76E2EC2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13</w:t>
            </w:r>
          </w:p>
        </w:tc>
        <w:tc>
          <w:tcPr>
            <w:tcW w:w="937" w:type="dxa"/>
            <w:vAlign w:val="center"/>
          </w:tcPr>
          <w:p w14:paraId="7A8BB12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22</w:t>
            </w:r>
          </w:p>
        </w:tc>
        <w:tc>
          <w:tcPr>
            <w:tcW w:w="866" w:type="dxa"/>
            <w:vAlign w:val="center"/>
          </w:tcPr>
          <w:p w14:paraId="5C18C69D"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22</w:t>
            </w:r>
          </w:p>
        </w:tc>
      </w:tr>
      <w:tr w:rsidR="00305B4A" w:rsidRPr="00305B4A" w14:paraId="50EC393D" w14:textId="77777777" w:rsidTr="00D005C3">
        <w:trPr>
          <w:trHeight w:val="257"/>
        </w:trPr>
        <w:tc>
          <w:tcPr>
            <w:tcW w:w="2866" w:type="dxa"/>
            <w:vAlign w:val="center"/>
          </w:tcPr>
          <w:p w14:paraId="352F0C0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Prof. Dr. Burcu BERKE</w:t>
            </w:r>
          </w:p>
        </w:tc>
        <w:tc>
          <w:tcPr>
            <w:tcW w:w="1872" w:type="dxa"/>
            <w:vAlign w:val="center"/>
          </w:tcPr>
          <w:p w14:paraId="68EDCCB3" w14:textId="77777777" w:rsidR="00305B4A" w:rsidRPr="00305B4A" w:rsidRDefault="00305B4A" w:rsidP="00305B4A">
            <w:pPr>
              <w:spacing w:after="200" w:line="276" w:lineRule="auto"/>
              <w:rPr>
                <w:rFonts w:ascii="Times New Roman" w:hAnsi="Times New Roman" w:cs="Times New Roman"/>
                <w:color w:val="9699A2"/>
                <w:sz w:val="20"/>
                <w:szCs w:val="20"/>
                <w:lang w:eastAsia="en-US"/>
              </w:rPr>
            </w:pPr>
            <w:r w:rsidRPr="00305B4A">
              <w:rPr>
                <w:rFonts w:ascii="Times New Roman" w:hAnsi="Times New Roman" w:cs="Times New Roman"/>
                <w:sz w:val="20"/>
                <w:szCs w:val="20"/>
                <w:lang w:eastAsia="en-US"/>
              </w:rPr>
              <w:t>Akdeniz Üniversitesi-2011</w:t>
            </w:r>
          </w:p>
        </w:tc>
        <w:tc>
          <w:tcPr>
            <w:tcW w:w="802" w:type="dxa"/>
            <w:vAlign w:val="center"/>
          </w:tcPr>
          <w:p w14:paraId="05D2CC8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15</w:t>
            </w:r>
          </w:p>
        </w:tc>
        <w:tc>
          <w:tcPr>
            <w:tcW w:w="804" w:type="dxa"/>
            <w:vAlign w:val="center"/>
          </w:tcPr>
          <w:p w14:paraId="02FD97FD"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12</w:t>
            </w:r>
          </w:p>
        </w:tc>
        <w:tc>
          <w:tcPr>
            <w:tcW w:w="1106" w:type="dxa"/>
            <w:vAlign w:val="center"/>
          </w:tcPr>
          <w:p w14:paraId="55BC6DD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12</w:t>
            </w:r>
          </w:p>
        </w:tc>
        <w:tc>
          <w:tcPr>
            <w:tcW w:w="937" w:type="dxa"/>
            <w:vAlign w:val="center"/>
          </w:tcPr>
          <w:p w14:paraId="38CDF1E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12</w:t>
            </w:r>
          </w:p>
        </w:tc>
        <w:tc>
          <w:tcPr>
            <w:tcW w:w="866" w:type="dxa"/>
            <w:vAlign w:val="center"/>
          </w:tcPr>
          <w:p w14:paraId="4FC4EE0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22</w:t>
            </w:r>
          </w:p>
        </w:tc>
      </w:tr>
      <w:tr w:rsidR="00305B4A" w:rsidRPr="00305B4A" w14:paraId="1A848EE1" w14:textId="77777777" w:rsidTr="00D005C3">
        <w:trPr>
          <w:trHeight w:val="257"/>
        </w:trPr>
        <w:tc>
          <w:tcPr>
            <w:tcW w:w="2866" w:type="dxa"/>
            <w:vAlign w:val="center"/>
          </w:tcPr>
          <w:p w14:paraId="115CC9E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Doç. Dr. Filiz KUTLUAY TUTAR</w:t>
            </w:r>
          </w:p>
        </w:tc>
        <w:tc>
          <w:tcPr>
            <w:tcW w:w="1872" w:type="dxa"/>
            <w:vAlign w:val="center"/>
          </w:tcPr>
          <w:p w14:paraId="2FBB7119"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Anadolu Üniversitesi -1999</w:t>
            </w:r>
          </w:p>
        </w:tc>
        <w:tc>
          <w:tcPr>
            <w:tcW w:w="802" w:type="dxa"/>
            <w:vAlign w:val="center"/>
          </w:tcPr>
          <w:p w14:paraId="44EEAA6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29</w:t>
            </w:r>
          </w:p>
        </w:tc>
        <w:tc>
          <w:tcPr>
            <w:tcW w:w="804" w:type="dxa"/>
            <w:vAlign w:val="center"/>
          </w:tcPr>
          <w:p w14:paraId="130C98A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31</w:t>
            </w:r>
          </w:p>
        </w:tc>
        <w:tc>
          <w:tcPr>
            <w:tcW w:w="1106" w:type="dxa"/>
            <w:vAlign w:val="center"/>
          </w:tcPr>
          <w:p w14:paraId="6548E09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31</w:t>
            </w:r>
          </w:p>
        </w:tc>
        <w:tc>
          <w:tcPr>
            <w:tcW w:w="937" w:type="dxa"/>
            <w:vAlign w:val="center"/>
          </w:tcPr>
          <w:p w14:paraId="37DDA56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43</w:t>
            </w:r>
          </w:p>
        </w:tc>
        <w:tc>
          <w:tcPr>
            <w:tcW w:w="866" w:type="dxa"/>
            <w:vAlign w:val="center"/>
          </w:tcPr>
          <w:p w14:paraId="4D1E328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40</w:t>
            </w:r>
          </w:p>
        </w:tc>
      </w:tr>
      <w:tr w:rsidR="00305B4A" w:rsidRPr="00305B4A" w14:paraId="304B9477" w14:textId="77777777" w:rsidTr="00D005C3">
        <w:trPr>
          <w:trHeight w:val="257"/>
        </w:trPr>
        <w:tc>
          <w:tcPr>
            <w:tcW w:w="2866" w:type="dxa"/>
            <w:vAlign w:val="center"/>
          </w:tcPr>
          <w:p w14:paraId="6A6A058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Doç. Dr. Yeliz SARIÖZ GÖKTEN</w:t>
            </w:r>
          </w:p>
        </w:tc>
        <w:tc>
          <w:tcPr>
            <w:tcW w:w="1872" w:type="dxa"/>
            <w:vAlign w:val="center"/>
          </w:tcPr>
          <w:p w14:paraId="0064252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Gazi Üniversitesi-2013</w:t>
            </w:r>
          </w:p>
        </w:tc>
        <w:tc>
          <w:tcPr>
            <w:tcW w:w="802" w:type="dxa"/>
            <w:vAlign w:val="center"/>
          </w:tcPr>
          <w:p w14:paraId="1CF219B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19</w:t>
            </w:r>
          </w:p>
        </w:tc>
        <w:tc>
          <w:tcPr>
            <w:tcW w:w="804" w:type="dxa"/>
            <w:vAlign w:val="center"/>
          </w:tcPr>
          <w:p w14:paraId="0ED16571"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11</w:t>
            </w:r>
          </w:p>
        </w:tc>
        <w:tc>
          <w:tcPr>
            <w:tcW w:w="1106" w:type="dxa"/>
            <w:vAlign w:val="center"/>
          </w:tcPr>
          <w:p w14:paraId="122D476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12</w:t>
            </w:r>
          </w:p>
        </w:tc>
        <w:tc>
          <w:tcPr>
            <w:tcW w:w="937" w:type="dxa"/>
            <w:vAlign w:val="center"/>
          </w:tcPr>
          <w:p w14:paraId="6E1888AA"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31</w:t>
            </w:r>
          </w:p>
        </w:tc>
        <w:tc>
          <w:tcPr>
            <w:tcW w:w="866" w:type="dxa"/>
            <w:vAlign w:val="center"/>
          </w:tcPr>
          <w:p w14:paraId="3E3FCA9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32</w:t>
            </w:r>
          </w:p>
        </w:tc>
      </w:tr>
      <w:tr w:rsidR="00305B4A" w:rsidRPr="00305B4A" w14:paraId="5A076B43" w14:textId="77777777" w:rsidTr="00D005C3">
        <w:trPr>
          <w:trHeight w:val="257"/>
        </w:trPr>
        <w:tc>
          <w:tcPr>
            <w:tcW w:w="2866" w:type="dxa"/>
            <w:vAlign w:val="center"/>
          </w:tcPr>
          <w:p w14:paraId="5E8B6701"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Doç. Dr. Fındık Özlem ALPER</w:t>
            </w:r>
          </w:p>
        </w:tc>
        <w:tc>
          <w:tcPr>
            <w:tcW w:w="1872" w:type="dxa"/>
            <w:vAlign w:val="center"/>
          </w:tcPr>
          <w:p w14:paraId="24FB8009"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Çukurova Üniversitesi -2014</w:t>
            </w:r>
          </w:p>
        </w:tc>
        <w:tc>
          <w:tcPr>
            <w:tcW w:w="802" w:type="dxa"/>
            <w:vAlign w:val="center"/>
          </w:tcPr>
          <w:p w14:paraId="5F6B979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13</w:t>
            </w:r>
          </w:p>
        </w:tc>
        <w:tc>
          <w:tcPr>
            <w:tcW w:w="804" w:type="dxa"/>
            <w:vAlign w:val="center"/>
          </w:tcPr>
          <w:p w14:paraId="3DA41A4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9</w:t>
            </w:r>
          </w:p>
        </w:tc>
        <w:tc>
          <w:tcPr>
            <w:tcW w:w="1106" w:type="dxa"/>
            <w:vAlign w:val="center"/>
          </w:tcPr>
          <w:p w14:paraId="5B920BF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9</w:t>
            </w:r>
          </w:p>
        </w:tc>
        <w:tc>
          <w:tcPr>
            <w:tcW w:w="937" w:type="dxa"/>
            <w:vAlign w:val="center"/>
          </w:tcPr>
          <w:p w14:paraId="0CE2A0B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26</w:t>
            </w:r>
          </w:p>
        </w:tc>
        <w:tc>
          <w:tcPr>
            <w:tcW w:w="866" w:type="dxa"/>
            <w:vAlign w:val="center"/>
          </w:tcPr>
          <w:p w14:paraId="6D3D0C2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29</w:t>
            </w:r>
          </w:p>
        </w:tc>
      </w:tr>
      <w:tr w:rsidR="00305B4A" w:rsidRPr="00305B4A" w14:paraId="0C86FF77" w14:textId="77777777" w:rsidTr="00D005C3">
        <w:trPr>
          <w:trHeight w:val="257"/>
        </w:trPr>
        <w:tc>
          <w:tcPr>
            <w:tcW w:w="2866" w:type="dxa"/>
            <w:vAlign w:val="center"/>
          </w:tcPr>
          <w:p w14:paraId="69AACD5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lastRenderedPageBreak/>
              <w:t>Doç. Dr. Sena TÜRKMEN</w:t>
            </w:r>
          </w:p>
        </w:tc>
        <w:tc>
          <w:tcPr>
            <w:tcW w:w="1872" w:type="dxa"/>
            <w:vAlign w:val="center"/>
          </w:tcPr>
          <w:p w14:paraId="58957BC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Kahramanmaraş Sütçü İmam Üniversitesi-2019</w:t>
            </w:r>
          </w:p>
        </w:tc>
        <w:tc>
          <w:tcPr>
            <w:tcW w:w="802" w:type="dxa"/>
            <w:vAlign w:val="center"/>
          </w:tcPr>
          <w:p w14:paraId="79BB031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10</w:t>
            </w:r>
          </w:p>
        </w:tc>
        <w:tc>
          <w:tcPr>
            <w:tcW w:w="804" w:type="dxa"/>
            <w:vAlign w:val="center"/>
          </w:tcPr>
          <w:p w14:paraId="1673971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11</w:t>
            </w:r>
          </w:p>
        </w:tc>
        <w:tc>
          <w:tcPr>
            <w:tcW w:w="1106" w:type="dxa"/>
            <w:vAlign w:val="center"/>
          </w:tcPr>
          <w:p w14:paraId="6B77936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w:t>
            </w:r>
          </w:p>
        </w:tc>
        <w:tc>
          <w:tcPr>
            <w:tcW w:w="937" w:type="dxa"/>
            <w:vAlign w:val="center"/>
          </w:tcPr>
          <w:p w14:paraId="655FF9DD"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15</w:t>
            </w:r>
          </w:p>
        </w:tc>
        <w:tc>
          <w:tcPr>
            <w:tcW w:w="866" w:type="dxa"/>
            <w:vAlign w:val="center"/>
          </w:tcPr>
          <w:p w14:paraId="2E018CE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27</w:t>
            </w:r>
          </w:p>
        </w:tc>
      </w:tr>
      <w:tr w:rsidR="00305B4A" w:rsidRPr="00305B4A" w14:paraId="109EE749" w14:textId="77777777" w:rsidTr="00D005C3">
        <w:trPr>
          <w:trHeight w:val="257"/>
        </w:trPr>
        <w:tc>
          <w:tcPr>
            <w:tcW w:w="2866" w:type="dxa"/>
            <w:vAlign w:val="center"/>
          </w:tcPr>
          <w:p w14:paraId="32033CA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 xml:space="preserve">Dr. Öğr. Üyesi </w:t>
            </w:r>
            <w:proofErr w:type="spellStart"/>
            <w:r w:rsidRPr="00305B4A">
              <w:rPr>
                <w:rFonts w:ascii="Times New Roman" w:eastAsia="Times New Roman" w:hAnsi="Times New Roman" w:cs="Times New Roman"/>
                <w:sz w:val="20"/>
                <w:szCs w:val="20"/>
              </w:rPr>
              <w:t>MehmetAli</w:t>
            </w:r>
            <w:proofErr w:type="spellEnd"/>
            <w:r w:rsidRPr="00305B4A">
              <w:rPr>
                <w:rFonts w:ascii="Times New Roman" w:eastAsia="Times New Roman" w:hAnsi="Times New Roman" w:cs="Times New Roman"/>
                <w:sz w:val="20"/>
                <w:szCs w:val="20"/>
              </w:rPr>
              <w:t xml:space="preserve"> KASIM</w:t>
            </w:r>
          </w:p>
        </w:tc>
        <w:tc>
          <w:tcPr>
            <w:tcW w:w="1872" w:type="dxa"/>
            <w:vAlign w:val="center"/>
          </w:tcPr>
          <w:p w14:paraId="413A3333"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Niğde Ömer Halisdemir Üniversitesi-2019</w:t>
            </w:r>
          </w:p>
        </w:tc>
        <w:tc>
          <w:tcPr>
            <w:tcW w:w="802" w:type="dxa"/>
            <w:vAlign w:val="center"/>
          </w:tcPr>
          <w:p w14:paraId="70CAFA4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p>
        </w:tc>
        <w:tc>
          <w:tcPr>
            <w:tcW w:w="804" w:type="dxa"/>
            <w:vAlign w:val="center"/>
          </w:tcPr>
          <w:p w14:paraId="35F04BF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w:t>
            </w:r>
          </w:p>
        </w:tc>
        <w:tc>
          <w:tcPr>
            <w:tcW w:w="1106" w:type="dxa"/>
            <w:vAlign w:val="center"/>
          </w:tcPr>
          <w:p w14:paraId="5E9EF20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w:t>
            </w:r>
          </w:p>
        </w:tc>
        <w:tc>
          <w:tcPr>
            <w:tcW w:w="937" w:type="dxa"/>
            <w:vAlign w:val="center"/>
          </w:tcPr>
          <w:p w14:paraId="12B7282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30</w:t>
            </w:r>
          </w:p>
        </w:tc>
        <w:tc>
          <w:tcPr>
            <w:tcW w:w="866" w:type="dxa"/>
            <w:vAlign w:val="center"/>
          </w:tcPr>
          <w:p w14:paraId="178CD39D"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33</w:t>
            </w:r>
          </w:p>
        </w:tc>
      </w:tr>
      <w:tr w:rsidR="00305B4A" w:rsidRPr="00305B4A" w14:paraId="07B93E53" w14:textId="77777777" w:rsidTr="00D005C3">
        <w:trPr>
          <w:trHeight w:val="257"/>
        </w:trPr>
        <w:tc>
          <w:tcPr>
            <w:tcW w:w="2866" w:type="dxa"/>
            <w:vAlign w:val="center"/>
          </w:tcPr>
          <w:p w14:paraId="3B1B864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 xml:space="preserve">Dr. Öğr. Üyesi </w:t>
            </w:r>
            <w:r w:rsidRPr="00305B4A">
              <w:rPr>
                <w:rFonts w:ascii="Times New Roman" w:eastAsia="Times New Roman" w:hAnsi="Times New Roman" w:cs="Times New Roman"/>
                <w:sz w:val="20"/>
                <w:szCs w:val="20"/>
              </w:rPr>
              <w:tab/>
              <w:t xml:space="preserve">Mohammad </w:t>
            </w:r>
            <w:proofErr w:type="spellStart"/>
            <w:r w:rsidRPr="00305B4A">
              <w:rPr>
                <w:rFonts w:ascii="Times New Roman" w:eastAsia="Times New Roman" w:hAnsi="Times New Roman" w:cs="Times New Roman"/>
                <w:sz w:val="20"/>
                <w:szCs w:val="20"/>
              </w:rPr>
              <w:t>Nadimur</w:t>
            </w:r>
            <w:proofErr w:type="spellEnd"/>
            <w:r w:rsidRPr="00305B4A">
              <w:rPr>
                <w:rFonts w:ascii="Times New Roman" w:eastAsia="Times New Roman" w:hAnsi="Times New Roman" w:cs="Times New Roman"/>
                <w:sz w:val="20"/>
                <w:szCs w:val="20"/>
              </w:rPr>
              <w:t xml:space="preserve"> RAHMAN</w:t>
            </w:r>
          </w:p>
        </w:tc>
        <w:tc>
          <w:tcPr>
            <w:tcW w:w="1872" w:type="dxa"/>
            <w:vAlign w:val="center"/>
          </w:tcPr>
          <w:p w14:paraId="29FC2D5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Erciyes Üniversitesi-2024</w:t>
            </w:r>
          </w:p>
        </w:tc>
        <w:tc>
          <w:tcPr>
            <w:tcW w:w="802" w:type="dxa"/>
            <w:vAlign w:val="center"/>
          </w:tcPr>
          <w:p w14:paraId="4A631AC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04" w:type="dxa"/>
            <w:vAlign w:val="center"/>
          </w:tcPr>
          <w:p w14:paraId="5706E70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1106" w:type="dxa"/>
            <w:vAlign w:val="center"/>
          </w:tcPr>
          <w:p w14:paraId="3EDB0F1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937" w:type="dxa"/>
            <w:vAlign w:val="center"/>
          </w:tcPr>
          <w:p w14:paraId="74DE49E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66" w:type="dxa"/>
            <w:vAlign w:val="center"/>
          </w:tcPr>
          <w:p w14:paraId="0EC71D3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w:t>
            </w:r>
          </w:p>
        </w:tc>
      </w:tr>
      <w:tr w:rsidR="00305B4A" w:rsidRPr="00305B4A" w14:paraId="72A1F3AD" w14:textId="77777777" w:rsidTr="00D005C3">
        <w:trPr>
          <w:trHeight w:val="257"/>
        </w:trPr>
        <w:tc>
          <w:tcPr>
            <w:tcW w:w="2866" w:type="dxa"/>
            <w:vAlign w:val="center"/>
          </w:tcPr>
          <w:p w14:paraId="68989A1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proofErr w:type="spellStart"/>
            <w:r w:rsidRPr="00305B4A">
              <w:rPr>
                <w:rFonts w:ascii="Times New Roman" w:eastAsia="Times New Roman" w:hAnsi="Times New Roman" w:cs="Times New Roman"/>
                <w:sz w:val="20"/>
                <w:szCs w:val="20"/>
              </w:rPr>
              <w:t>Ögr</w:t>
            </w:r>
            <w:proofErr w:type="spellEnd"/>
            <w:r w:rsidRPr="00305B4A">
              <w:rPr>
                <w:rFonts w:ascii="Times New Roman" w:eastAsia="Times New Roman" w:hAnsi="Times New Roman" w:cs="Times New Roman"/>
                <w:sz w:val="20"/>
                <w:szCs w:val="20"/>
              </w:rPr>
              <w:t>. Gör. Meral KOCABAY</w:t>
            </w:r>
          </w:p>
        </w:tc>
        <w:tc>
          <w:tcPr>
            <w:tcW w:w="1872" w:type="dxa"/>
            <w:vAlign w:val="center"/>
          </w:tcPr>
          <w:p w14:paraId="415D51E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proofErr w:type="spellStart"/>
            <w:r w:rsidRPr="00305B4A">
              <w:rPr>
                <w:rFonts w:ascii="Times New Roman" w:eastAsia="Times New Roman" w:hAnsi="Times New Roman" w:cs="Times New Roman"/>
                <w:sz w:val="20"/>
                <w:szCs w:val="20"/>
              </w:rPr>
              <w:t>University</w:t>
            </w:r>
            <w:proofErr w:type="spellEnd"/>
            <w:r w:rsidRPr="00305B4A">
              <w:rPr>
                <w:rFonts w:ascii="Times New Roman" w:eastAsia="Times New Roman" w:hAnsi="Times New Roman" w:cs="Times New Roman"/>
                <w:sz w:val="20"/>
                <w:szCs w:val="20"/>
              </w:rPr>
              <w:t xml:space="preserve"> of Sheffield-1998</w:t>
            </w:r>
          </w:p>
        </w:tc>
        <w:tc>
          <w:tcPr>
            <w:tcW w:w="802" w:type="dxa"/>
          </w:tcPr>
          <w:p w14:paraId="341CF9E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16</w:t>
            </w:r>
          </w:p>
        </w:tc>
        <w:tc>
          <w:tcPr>
            <w:tcW w:w="804" w:type="dxa"/>
          </w:tcPr>
          <w:p w14:paraId="56AC79C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18</w:t>
            </w:r>
          </w:p>
        </w:tc>
        <w:tc>
          <w:tcPr>
            <w:tcW w:w="1106" w:type="dxa"/>
            <w:vAlign w:val="center"/>
          </w:tcPr>
          <w:p w14:paraId="31C86CC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18</w:t>
            </w:r>
          </w:p>
        </w:tc>
        <w:tc>
          <w:tcPr>
            <w:tcW w:w="937" w:type="dxa"/>
            <w:vAlign w:val="center"/>
          </w:tcPr>
          <w:p w14:paraId="7101216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11</w:t>
            </w:r>
          </w:p>
        </w:tc>
        <w:tc>
          <w:tcPr>
            <w:tcW w:w="866" w:type="dxa"/>
            <w:vAlign w:val="center"/>
          </w:tcPr>
          <w:p w14:paraId="536C08F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r>
      <w:tr w:rsidR="00305B4A" w:rsidRPr="00305B4A" w14:paraId="36E90666" w14:textId="77777777" w:rsidTr="00D005C3">
        <w:trPr>
          <w:trHeight w:val="257"/>
        </w:trPr>
        <w:tc>
          <w:tcPr>
            <w:tcW w:w="2866" w:type="dxa"/>
            <w:vAlign w:val="center"/>
          </w:tcPr>
          <w:p w14:paraId="4A0E3A45"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Arş. Gör. Dr. Hilal BUDAK BİÇER</w:t>
            </w:r>
          </w:p>
        </w:tc>
        <w:tc>
          <w:tcPr>
            <w:tcW w:w="1872" w:type="dxa"/>
            <w:vAlign w:val="center"/>
          </w:tcPr>
          <w:p w14:paraId="1EDE3DD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Eskişehir Osmangazi Üniversitesi-2018</w:t>
            </w:r>
          </w:p>
        </w:tc>
        <w:tc>
          <w:tcPr>
            <w:tcW w:w="802" w:type="dxa"/>
            <w:vAlign w:val="center"/>
          </w:tcPr>
          <w:p w14:paraId="4EF618BF"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04" w:type="dxa"/>
            <w:vAlign w:val="center"/>
          </w:tcPr>
          <w:p w14:paraId="52203C77"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6</w:t>
            </w:r>
          </w:p>
        </w:tc>
        <w:tc>
          <w:tcPr>
            <w:tcW w:w="1106" w:type="dxa"/>
            <w:vAlign w:val="center"/>
          </w:tcPr>
          <w:p w14:paraId="39BC7C5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6</w:t>
            </w:r>
          </w:p>
        </w:tc>
        <w:tc>
          <w:tcPr>
            <w:tcW w:w="937" w:type="dxa"/>
            <w:vAlign w:val="center"/>
          </w:tcPr>
          <w:p w14:paraId="0EFB110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66" w:type="dxa"/>
            <w:vAlign w:val="center"/>
          </w:tcPr>
          <w:p w14:paraId="50C8802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r>
      <w:tr w:rsidR="00305B4A" w:rsidRPr="00305B4A" w14:paraId="76647958" w14:textId="77777777" w:rsidTr="00D005C3">
        <w:trPr>
          <w:trHeight w:val="257"/>
        </w:trPr>
        <w:tc>
          <w:tcPr>
            <w:tcW w:w="2866" w:type="dxa"/>
            <w:vAlign w:val="center"/>
          </w:tcPr>
          <w:p w14:paraId="24A753A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Arş. Gör. Emine Dilara AKTEKİN</w:t>
            </w:r>
          </w:p>
        </w:tc>
        <w:tc>
          <w:tcPr>
            <w:tcW w:w="1872" w:type="dxa"/>
            <w:vAlign w:val="center"/>
          </w:tcPr>
          <w:p w14:paraId="42418E1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Niğde Ömer Halisdemir Üniversitesi-2019</w:t>
            </w:r>
          </w:p>
        </w:tc>
        <w:tc>
          <w:tcPr>
            <w:tcW w:w="802" w:type="dxa"/>
            <w:vAlign w:val="center"/>
          </w:tcPr>
          <w:p w14:paraId="67F46FA1"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04" w:type="dxa"/>
            <w:vAlign w:val="center"/>
          </w:tcPr>
          <w:p w14:paraId="276B4F94"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w:t>
            </w:r>
          </w:p>
        </w:tc>
        <w:tc>
          <w:tcPr>
            <w:tcW w:w="1106" w:type="dxa"/>
            <w:vAlign w:val="center"/>
          </w:tcPr>
          <w:p w14:paraId="5AD89D4E"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3</w:t>
            </w:r>
          </w:p>
        </w:tc>
        <w:tc>
          <w:tcPr>
            <w:tcW w:w="937" w:type="dxa"/>
            <w:vAlign w:val="center"/>
          </w:tcPr>
          <w:p w14:paraId="4317B08C"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66" w:type="dxa"/>
            <w:vAlign w:val="center"/>
          </w:tcPr>
          <w:p w14:paraId="7EDCC45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r>
      <w:tr w:rsidR="00305B4A" w:rsidRPr="00305B4A" w14:paraId="5299B6F2" w14:textId="77777777" w:rsidTr="00D005C3">
        <w:trPr>
          <w:trHeight w:val="257"/>
        </w:trPr>
        <w:tc>
          <w:tcPr>
            <w:tcW w:w="2866" w:type="dxa"/>
            <w:vAlign w:val="center"/>
          </w:tcPr>
          <w:p w14:paraId="0790130B"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Arş. Gör. Mürsel ÖTER</w:t>
            </w:r>
          </w:p>
        </w:tc>
        <w:tc>
          <w:tcPr>
            <w:tcW w:w="1872" w:type="dxa"/>
            <w:vAlign w:val="center"/>
          </w:tcPr>
          <w:p w14:paraId="3D373A07" w14:textId="77777777" w:rsidR="00305B4A" w:rsidRPr="00305B4A" w:rsidRDefault="00305B4A" w:rsidP="00305B4A">
            <w:pPr>
              <w:spacing w:after="0" w:line="240" w:lineRule="auto"/>
              <w:rPr>
                <w:rFonts w:ascii="Times New Roman" w:eastAsia="Times New Roman" w:hAnsi="Times New Roman" w:cs="Times New Roman"/>
                <w:sz w:val="20"/>
                <w:szCs w:val="20"/>
              </w:rPr>
            </w:pPr>
          </w:p>
          <w:p w14:paraId="0AB9FEC1"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İstanbul Üniversitesi,-2019</w:t>
            </w:r>
          </w:p>
        </w:tc>
        <w:tc>
          <w:tcPr>
            <w:tcW w:w="802" w:type="dxa"/>
            <w:vAlign w:val="center"/>
          </w:tcPr>
          <w:p w14:paraId="1C6EEE4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p>
        </w:tc>
        <w:tc>
          <w:tcPr>
            <w:tcW w:w="804" w:type="dxa"/>
            <w:vAlign w:val="center"/>
          </w:tcPr>
          <w:p w14:paraId="66B81486"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w:t>
            </w:r>
          </w:p>
        </w:tc>
        <w:tc>
          <w:tcPr>
            <w:tcW w:w="1106" w:type="dxa"/>
            <w:vAlign w:val="center"/>
          </w:tcPr>
          <w:p w14:paraId="3EF846C0"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2</w:t>
            </w:r>
          </w:p>
        </w:tc>
        <w:tc>
          <w:tcPr>
            <w:tcW w:w="937" w:type="dxa"/>
            <w:vAlign w:val="center"/>
          </w:tcPr>
          <w:p w14:paraId="55BF0712"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c>
          <w:tcPr>
            <w:tcW w:w="866" w:type="dxa"/>
            <w:vAlign w:val="center"/>
          </w:tcPr>
          <w:p w14:paraId="1C7F16C8" w14:textId="77777777" w:rsidR="00305B4A" w:rsidRPr="00305B4A" w:rsidRDefault="00305B4A" w:rsidP="00305B4A">
            <w:pPr>
              <w:spacing w:after="0" w:line="240" w:lineRule="auto"/>
              <w:jc w:val="center"/>
              <w:rPr>
                <w:rFonts w:ascii="Times New Roman" w:eastAsia="Times New Roman" w:hAnsi="Times New Roman" w:cs="Times New Roman"/>
                <w:sz w:val="20"/>
                <w:szCs w:val="20"/>
              </w:rPr>
            </w:pPr>
            <w:r w:rsidRPr="00305B4A">
              <w:rPr>
                <w:rFonts w:ascii="Times New Roman" w:eastAsia="Times New Roman" w:hAnsi="Times New Roman" w:cs="Times New Roman"/>
                <w:sz w:val="20"/>
                <w:szCs w:val="20"/>
              </w:rPr>
              <w:t>-</w:t>
            </w:r>
          </w:p>
        </w:tc>
      </w:tr>
    </w:tbl>
    <w:p w14:paraId="0C8D53AD" w14:textId="77777777" w:rsidR="00305B4A" w:rsidRDefault="00305B4A">
      <w:pPr>
        <w:widowControl w:val="0"/>
        <w:spacing w:before="120" w:after="120" w:line="240" w:lineRule="auto"/>
        <w:ind w:right="62"/>
        <w:jc w:val="both"/>
        <w:rPr>
          <w:rFonts w:ascii="Times New Roman" w:eastAsia="Times New Roman" w:hAnsi="Times New Roman" w:cs="Times New Roman"/>
          <w:b/>
          <w:color w:val="2E75B5"/>
          <w:sz w:val="32"/>
          <w:szCs w:val="32"/>
        </w:rPr>
      </w:pPr>
    </w:p>
    <w:p w14:paraId="2B3C5F80" w14:textId="5AB5D3DB"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D. ARAŞTIRMA VE GELİŞTİRME </w:t>
      </w:r>
    </w:p>
    <w:p w14:paraId="2B3C5F81" w14:textId="77777777" w:rsidR="000F6023" w:rsidRPr="0082199E" w:rsidRDefault="001D06F2">
      <w:pPr>
        <w:jc w:val="both"/>
        <w:rPr>
          <w:rFonts w:ascii="Times New Roman" w:eastAsia="Times New Roman" w:hAnsi="Times New Roman" w:cs="Times New Roman"/>
          <w:i/>
        </w:rPr>
      </w:pPr>
      <w:r w:rsidRPr="0082199E">
        <w:rPr>
          <w:rFonts w:ascii="Times New Roman" w:eastAsia="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B3C5F82" w14:textId="77777777" w:rsidR="000F6023" w:rsidRPr="0082199E" w:rsidRDefault="000F6023">
      <w:pPr>
        <w:widowControl w:val="0"/>
        <w:spacing w:after="0" w:line="240" w:lineRule="auto"/>
        <w:ind w:right="63"/>
        <w:jc w:val="both"/>
        <w:rPr>
          <w:rFonts w:ascii="Times New Roman" w:eastAsia="Times New Roman" w:hAnsi="Times New Roman" w:cs="Times New Roman"/>
          <w:sz w:val="24"/>
          <w:szCs w:val="24"/>
        </w:rPr>
      </w:pPr>
    </w:p>
    <w:p w14:paraId="2B3C5F8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D.1. Araştırma Süreçlerinin Yönetimi ve Araştırma Kaynakları</w:t>
      </w:r>
    </w:p>
    <w:p w14:paraId="2B3C5F84"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Üniversitemiz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politikası ve hedefleri doğrultusunda birimde yürütülen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çalışmaları, bu çalışmaların izlenmesi, iyileştirilmesi ve paydaş katılımını gösteren uygulama ve kanıtlar </w:t>
      </w:r>
    </w:p>
    <w:p w14:paraId="2B3C5F85"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Öncelikli alanlarımız ve yerel/bölgesel/ulusal kalkınma hedeflerine yönelik gerçekleştirilen araştırma faaliyetleri, ilgili araştırma çıktılarının izlenmesi ve iyileştirilmesine ilişkin kanıtlar</w:t>
      </w:r>
    </w:p>
    <w:p w14:paraId="2B3C5F86"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Araştırma-geliştirme altyapısı ve gelişimi</w:t>
      </w:r>
    </w:p>
    <w:p w14:paraId="2B3C5F87"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Doktora programları ve doktora sonrası imkanlara ilişkin kanıtlar</w:t>
      </w:r>
    </w:p>
    <w:p w14:paraId="2B3C5F88"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Bu programlar ve imkanlardan yararlanan öğrenci/araştırmacı sayıları ve bunların birimlere göre dağılımı</w:t>
      </w:r>
    </w:p>
    <w:p w14:paraId="2B3C5F89"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 xml:space="preserve">Doktora programları ve doktora sonrası imkanlara yönelik izleme ve iyileştirme kanıtları </w:t>
      </w:r>
    </w:p>
    <w:p w14:paraId="2B3C5F8A"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F8B"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D.2 Araştırma Yetkinliği, İş birlikleri ve Destekler</w:t>
      </w:r>
    </w:p>
    <w:p w14:paraId="2B3C5F8C"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yetkinliğinin geliştirilmesine yönelik planlama ve uygulamalar (destekleyici eğitimler, uluslararası fırsatlar, proje iş birliği çalışmaları vb.) </w:t>
      </w:r>
    </w:p>
    <w:p w14:paraId="2B3C5F8D"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8E"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elemanlarının araştırma yetkinliğinin izlenmesi ve iyileştirilmesine ilişkin kanıtlar</w:t>
      </w:r>
    </w:p>
    <w:p w14:paraId="2B3C5F8F"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Ulusal ve uluslararası düzeyde ortak programlar ve ortak araştırma birimleri oluşturulmasına yönelik mekanizmalar</w:t>
      </w:r>
    </w:p>
    <w:p w14:paraId="2B3C5F90"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Birimin dâhil olduğu araştırma ağları, ortak programları ve araştırma birimleri, ortak araştırmalardan üretilen çalışmalar ve sonuçları </w:t>
      </w:r>
    </w:p>
    <w:p w14:paraId="2B3C5F91" w14:textId="77777777" w:rsidR="000F6023" w:rsidRPr="0082199E" w:rsidRDefault="001D06F2" w:rsidP="00B6733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2199E">
        <w:rPr>
          <w:rFonts w:ascii="Times New Roman" w:eastAsia="Times New Roman" w:hAnsi="Times New Roman" w:cs="Times New Roman"/>
          <w:color w:val="000000"/>
        </w:rPr>
        <w:t>Ortak programlar ve ortak araştırma faaliyetlerinin izlenmesine ve iyileştirilmesine yönelik kanıtlar</w:t>
      </w:r>
    </w:p>
    <w:p w14:paraId="2B3C5F92" w14:textId="77777777" w:rsidR="000F6023" w:rsidRPr="0082199E" w:rsidRDefault="000F6023">
      <w:pPr>
        <w:spacing w:after="0" w:line="240" w:lineRule="auto"/>
        <w:jc w:val="both"/>
        <w:rPr>
          <w:rFonts w:ascii="Times New Roman" w:eastAsia="Times New Roman" w:hAnsi="Times New Roman" w:cs="Times New Roman"/>
        </w:rPr>
      </w:pPr>
    </w:p>
    <w:p w14:paraId="2B3C5F9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D.3. Araştırma Performansı </w:t>
      </w:r>
    </w:p>
    <w:p w14:paraId="2B3C5F94"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araştırma-geliştirme performansını izlemek üzere geçerli olan tanımlı süreçler (Yönetmelik, yönerge, süreç tanımı, ölçme araçları, rehber, kılavuz, takdir-tanıma sistemi, teşvik mekanizmaları vb.) </w:t>
      </w:r>
    </w:p>
    <w:p w14:paraId="2B3C5F95"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performansına yönelik analiz raporları </w:t>
      </w:r>
    </w:p>
    <w:p w14:paraId="2B3C5F96"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97"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lastRenderedPageBreak/>
        <w:t>Araştırma geliştirme performansına ilişkin izleme ve iyileştirme kanıtları</w:t>
      </w:r>
    </w:p>
    <w:p w14:paraId="2B3C5F98"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i/>
          <w:color w:val="000000"/>
          <w:sz w:val="24"/>
          <w:szCs w:val="24"/>
        </w:rPr>
      </w:pPr>
      <w:bookmarkStart w:id="3" w:name="_2et92p0" w:colFirst="0" w:colLast="0"/>
      <w:bookmarkEnd w:id="3"/>
      <w:r w:rsidRPr="0082199E">
        <w:rPr>
          <w:rFonts w:ascii="Times New Roman" w:eastAsia="Times New Roman" w:hAnsi="Times New Roman" w:cs="Times New Roman"/>
          <w:color w:val="000000"/>
        </w:rPr>
        <w:t xml:space="preserve">Araştırma-geliştirme hedeflerine ulaşılıp ulaşılmadığını izlemek üzere oluşturulan mekanizmalar, izleme ve iyileştirme çalışmaları </w:t>
      </w:r>
    </w:p>
    <w:p w14:paraId="2B3C5F99" w14:textId="77777777" w:rsidR="000F6023" w:rsidRPr="0082199E" w:rsidRDefault="000F6023">
      <w:pPr>
        <w:spacing w:after="0" w:line="240" w:lineRule="auto"/>
        <w:ind w:left="119" w:hanging="119"/>
        <w:rPr>
          <w:rFonts w:ascii="Times New Roman" w:eastAsia="Times New Roman" w:hAnsi="Times New Roman" w:cs="Times New Roman"/>
          <w:b/>
          <w:sz w:val="24"/>
          <w:szCs w:val="24"/>
        </w:rPr>
      </w:pPr>
    </w:p>
    <w:p w14:paraId="22008990" w14:textId="77777777" w:rsidR="00305B4A" w:rsidRPr="00DA0854" w:rsidRDefault="00305B4A" w:rsidP="00305B4A">
      <w:pPr>
        <w:ind w:left="118" w:hanging="118"/>
        <w:jc w:val="center"/>
        <w:rPr>
          <w:rFonts w:ascii="Times New Roman" w:eastAsia="Times New Roman" w:hAnsi="Times New Roman"/>
          <w:b/>
          <w:sz w:val="20"/>
          <w:szCs w:val="20"/>
        </w:rPr>
      </w:pPr>
      <w:r w:rsidRPr="00DA0854">
        <w:rPr>
          <w:rFonts w:ascii="Times New Roman" w:eastAsia="Times New Roman" w:hAnsi="Times New Roman"/>
          <w:b/>
          <w:sz w:val="20"/>
          <w:szCs w:val="20"/>
        </w:rPr>
        <w:t>Tablo 4. 2024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2322"/>
        <w:gridCol w:w="2005"/>
        <w:gridCol w:w="2087"/>
        <w:gridCol w:w="2062"/>
      </w:tblGrid>
      <w:tr w:rsidR="00305B4A" w:rsidRPr="00DA0854" w14:paraId="550CA287" w14:textId="77777777" w:rsidTr="00D005C3">
        <w:trPr>
          <w:trHeight w:val="199"/>
          <w:jc w:val="center"/>
        </w:trPr>
        <w:tc>
          <w:tcPr>
            <w:tcW w:w="598" w:type="pct"/>
            <w:tcBorders>
              <w:bottom w:val="single" w:sz="4" w:space="0" w:color="000000"/>
            </w:tcBorders>
            <w:vAlign w:val="center"/>
          </w:tcPr>
          <w:p w14:paraId="09AA2F69"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bookmarkStart w:id="4" w:name="_tyjcwt" w:colFirst="0" w:colLast="0"/>
            <w:bookmarkEnd w:id="4"/>
            <w:r w:rsidRPr="00DA0854">
              <w:rPr>
                <w:rFonts w:ascii="Times New Roman" w:hAnsi="Times New Roman"/>
                <w:color w:val="000000"/>
                <w:sz w:val="20"/>
                <w:szCs w:val="20"/>
              </w:rPr>
              <w:t>Proje No</w:t>
            </w:r>
          </w:p>
        </w:tc>
        <w:tc>
          <w:tcPr>
            <w:tcW w:w="1206" w:type="pct"/>
            <w:tcBorders>
              <w:bottom w:val="single" w:sz="4" w:space="0" w:color="000000"/>
            </w:tcBorders>
            <w:vAlign w:val="center"/>
          </w:tcPr>
          <w:p w14:paraId="60E9774E"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DA0854">
              <w:rPr>
                <w:rFonts w:ascii="Times New Roman" w:hAnsi="Times New Roman"/>
                <w:color w:val="000000"/>
                <w:sz w:val="20"/>
                <w:szCs w:val="20"/>
              </w:rPr>
              <w:t>Proje Yürütücüsü</w:t>
            </w:r>
          </w:p>
        </w:tc>
        <w:tc>
          <w:tcPr>
            <w:tcW w:w="1041" w:type="pct"/>
            <w:tcBorders>
              <w:bottom w:val="single" w:sz="4" w:space="0" w:color="000000"/>
            </w:tcBorders>
            <w:vAlign w:val="center"/>
          </w:tcPr>
          <w:p w14:paraId="7792D2F5"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DA0854">
              <w:rPr>
                <w:rFonts w:ascii="Times New Roman" w:hAnsi="Times New Roman"/>
                <w:color w:val="000000"/>
                <w:sz w:val="20"/>
                <w:szCs w:val="20"/>
              </w:rPr>
              <w:t>Projenin Adı</w:t>
            </w:r>
          </w:p>
        </w:tc>
        <w:tc>
          <w:tcPr>
            <w:tcW w:w="1084" w:type="pct"/>
            <w:tcBorders>
              <w:bottom w:val="single" w:sz="4" w:space="0" w:color="000000"/>
            </w:tcBorders>
            <w:vAlign w:val="center"/>
          </w:tcPr>
          <w:p w14:paraId="56B40939"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DA0854">
              <w:rPr>
                <w:rFonts w:ascii="Times New Roman" w:hAnsi="Times New Roman"/>
                <w:color w:val="000000"/>
                <w:sz w:val="20"/>
                <w:szCs w:val="20"/>
              </w:rPr>
              <w:t>Proje Bütçesi</w:t>
            </w:r>
          </w:p>
        </w:tc>
        <w:tc>
          <w:tcPr>
            <w:tcW w:w="1071" w:type="pct"/>
            <w:tcBorders>
              <w:bottom w:val="single" w:sz="4" w:space="0" w:color="000000"/>
            </w:tcBorders>
            <w:vAlign w:val="center"/>
          </w:tcPr>
          <w:p w14:paraId="53D2B23D"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DA0854">
              <w:rPr>
                <w:rFonts w:ascii="Times New Roman" w:hAnsi="Times New Roman"/>
                <w:color w:val="000000"/>
                <w:sz w:val="20"/>
                <w:szCs w:val="20"/>
              </w:rPr>
              <w:t>Destekleyen Birim</w:t>
            </w:r>
          </w:p>
        </w:tc>
      </w:tr>
      <w:tr w:rsidR="00305B4A" w:rsidRPr="00DA0854" w14:paraId="71A4A4F8" w14:textId="77777777" w:rsidTr="00D005C3">
        <w:trPr>
          <w:trHeight w:val="199"/>
          <w:jc w:val="center"/>
        </w:trPr>
        <w:tc>
          <w:tcPr>
            <w:tcW w:w="598" w:type="pct"/>
            <w:tcBorders>
              <w:top w:val="single" w:sz="4" w:space="0" w:color="000000"/>
            </w:tcBorders>
            <w:vAlign w:val="center"/>
          </w:tcPr>
          <w:p w14:paraId="60C4031C"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123K311</w:t>
            </w:r>
          </w:p>
        </w:tc>
        <w:tc>
          <w:tcPr>
            <w:tcW w:w="1206" w:type="pct"/>
            <w:tcBorders>
              <w:top w:val="single" w:sz="4" w:space="0" w:color="000000"/>
            </w:tcBorders>
            <w:vAlign w:val="center"/>
          </w:tcPr>
          <w:p w14:paraId="5AB842DB"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Prof. Dr. Burcu BERKE</w:t>
            </w:r>
          </w:p>
        </w:tc>
        <w:tc>
          <w:tcPr>
            <w:tcW w:w="1041" w:type="pct"/>
            <w:tcBorders>
              <w:top w:val="single" w:sz="4" w:space="0" w:color="000000"/>
            </w:tcBorders>
            <w:vAlign w:val="center"/>
          </w:tcPr>
          <w:p w14:paraId="69E9A4CC"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B57034">
              <w:rPr>
                <w:rFonts w:ascii="Poppins" w:eastAsia="Times New Roman" w:hAnsi="Poppins"/>
                <w:sz w:val="21"/>
                <w:szCs w:val="21"/>
              </w:rPr>
              <w:t>COVID</w:t>
            </w:r>
            <w:r>
              <w:rPr>
                <w:rFonts w:ascii="Poppins" w:eastAsia="Times New Roman" w:hAnsi="Poppins"/>
                <w:sz w:val="21"/>
                <w:szCs w:val="21"/>
              </w:rPr>
              <w:t>-19'un Ekonomik v</w:t>
            </w:r>
            <w:r w:rsidRPr="00B57034">
              <w:rPr>
                <w:rFonts w:ascii="Poppins" w:eastAsia="Times New Roman" w:hAnsi="Poppins"/>
                <w:sz w:val="21"/>
                <w:szCs w:val="21"/>
              </w:rPr>
              <w:t xml:space="preserve">e Finansal Etkileri </w:t>
            </w:r>
            <w:r w:rsidRPr="00B57034">
              <w:rPr>
                <w:rFonts w:ascii="Poppins" w:eastAsia="Times New Roman" w:hAnsi="Poppins" w:hint="eastAsia"/>
                <w:sz w:val="21"/>
                <w:szCs w:val="21"/>
              </w:rPr>
              <w:t>Ü</w:t>
            </w:r>
            <w:r w:rsidRPr="00B57034">
              <w:rPr>
                <w:rFonts w:ascii="Poppins" w:eastAsia="Times New Roman" w:hAnsi="Poppins"/>
                <w:sz w:val="21"/>
                <w:szCs w:val="21"/>
              </w:rPr>
              <w:t>zerine Bir Ara</w:t>
            </w:r>
            <w:r w:rsidRPr="00B57034">
              <w:rPr>
                <w:rFonts w:ascii="Poppins" w:eastAsia="Times New Roman" w:hAnsi="Poppins" w:hint="eastAsia"/>
                <w:sz w:val="21"/>
                <w:szCs w:val="21"/>
              </w:rPr>
              <w:t>ş</w:t>
            </w:r>
            <w:r w:rsidRPr="00B57034">
              <w:rPr>
                <w:rFonts w:ascii="Poppins" w:eastAsia="Times New Roman" w:hAnsi="Poppins"/>
                <w:sz w:val="21"/>
                <w:szCs w:val="21"/>
              </w:rPr>
              <w:t>t</w:t>
            </w:r>
            <w:r w:rsidRPr="00B57034">
              <w:rPr>
                <w:rFonts w:ascii="Poppins" w:eastAsia="Times New Roman" w:hAnsi="Poppins" w:hint="eastAsia"/>
                <w:sz w:val="21"/>
                <w:szCs w:val="21"/>
              </w:rPr>
              <w:t>ı</w:t>
            </w:r>
            <w:r w:rsidRPr="00B57034">
              <w:rPr>
                <w:rFonts w:ascii="Poppins" w:eastAsia="Times New Roman" w:hAnsi="Poppins"/>
                <w:sz w:val="21"/>
                <w:szCs w:val="21"/>
              </w:rPr>
              <w:t>rma</w:t>
            </w:r>
          </w:p>
        </w:tc>
        <w:tc>
          <w:tcPr>
            <w:tcW w:w="1084" w:type="pct"/>
            <w:tcBorders>
              <w:top w:val="single" w:sz="4" w:space="0" w:color="000000"/>
            </w:tcBorders>
            <w:vAlign w:val="center"/>
          </w:tcPr>
          <w:p w14:paraId="43640CC3"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74.128,16 TL</w:t>
            </w:r>
          </w:p>
        </w:tc>
        <w:tc>
          <w:tcPr>
            <w:tcW w:w="1071" w:type="pct"/>
            <w:tcBorders>
              <w:top w:val="single" w:sz="4" w:space="0" w:color="000000"/>
            </w:tcBorders>
            <w:vAlign w:val="center"/>
          </w:tcPr>
          <w:p w14:paraId="704A68D5" w14:textId="77777777" w:rsidR="00305B4A" w:rsidRPr="00DA0854" w:rsidRDefault="00305B4A" w:rsidP="00D005C3">
            <w:pPr>
              <w:pBdr>
                <w:top w:val="nil"/>
                <w:left w:val="nil"/>
                <w:bottom w:val="nil"/>
                <w:right w:val="nil"/>
                <w:between w:val="nil"/>
              </w:pBdr>
              <w:rPr>
                <w:rFonts w:ascii="Times New Roman" w:hAnsi="Times New Roman"/>
                <w:color w:val="000000"/>
                <w:sz w:val="20"/>
                <w:szCs w:val="20"/>
              </w:rPr>
            </w:pPr>
            <w:r w:rsidRPr="00B57034">
              <w:rPr>
                <w:rFonts w:ascii="Times New Roman" w:hAnsi="Times New Roman"/>
                <w:color w:val="000000"/>
                <w:sz w:val="20"/>
                <w:szCs w:val="20"/>
              </w:rPr>
              <w:t>TÜBİTAK</w:t>
            </w:r>
            <w:r>
              <w:rPr>
                <w:rFonts w:ascii="Times New Roman" w:hAnsi="Times New Roman"/>
                <w:color w:val="000000"/>
                <w:sz w:val="20"/>
                <w:szCs w:val="20"/>
              </w:rPr>
              <w:t xml:space="preserve"> (</w:t>
            </w:r>
            <w:r w:rsidRPr="008469F6">
              <w:rPr>
                <w:rFonts w:ascii="Times New Roman" w:hAnsi="Times New Roman"/>
                <w:color w:val="000000"/>
                <w:sz w:val="20"/>
                <w:szCs w:val="20"/>
              </w:rPr>
              <w:t>TÜBİTAK</w:t>
            </w:r>
            <w:r>
              <w:rPr>
                <w:rFonts w:ascii="Times New Roman" w:hAnsi="Times New Roman"/>
                <w:color w:val="000000"/>
                <w:sz w:val="20"/>
                <w:szCs w:val="20"/>
              </w:rPr>
              <w:t xml:space="preserve"> 1002A projesi)</w:t>
            </w:r>
          </w:p>
        </w:tc>
      </w:tr>
    </w:tbl>
    <w:p w14:paraId="0EE62ABB" w14:textId="77777777" w:rsidR="00305B4A" w:rsidRDefault="00305B4A">
      <w:pPr>
        <w:widowControl w:val="0"/>
        <w:spacing w:before="120" w:after="120" w:line="240" w:lineRule="auto"/>
        <w:ind w:right="62"/>
        <w:jc w:val="both"/>
        <w:rPr>
          <w:rFonts w:ascii="Times New Roman" w:eastAsia="Times New Roman" w:hAnsi="Times New Roman" w:cs="Times New Roman"/>
          <w:b/>
          <w:color w:val="2E75B5"/>
          <w:sz w:val="32"/>
          <w:szCs w:val="32"/>
        </w:rPr>
      </w:pPr>
    </w:p>
    <w:p w14:paraId="2B3C5FD2" w14:textId="41D120DA"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E. TOPLUMSAL KATKI </w:t>
      </w:r>
    </w:p>
    <w:p w14:paraId="2B3C5FD3" w14:textId="77777777" w:rsidR="000F6023" w:rsidRPr="0082199E" w:rsidRDefault="001D06F2">
      <w:pPr>
        <w:widowControl w:val="0"/>
        <w:spacing w:after="0" w:line="240" w:lineRule="auto"/>
        <w:ind w:right="63"/>
        <w:jc w:val="both"/>
        <w:rPr>
          <w:rFonts w:ascii="Times New Roman" w:eastAsia="Times New Roman" w:hAnsi="Times New Roman" w:cs="Times New Roman"/>
          <w:i/>
        </w:rPr>
      </w:pPr>
      <w:r w:rsidRPr="0082199E">
        <w:rPr>
          <w:rFonts w:ascii="Times New Roman" w:eastAsia="Times New Roman" w:hAnsi="Times New Roman" w:cs="Times New Roman"/>
          <w:i/>
        </w:rPr>
        <w:t>Kurum, toplumsal katkı faaliyetlerini sahip olduğu hedefleri ve stratejisi doğrultusunda yerel, bölgesel ve ulusal kalkınma hedefleriyle uyumlu bir şekilde yürütmelidir.</w:t>
      </w:r>
    </w:p>
    <w:p w14:paraId="2B3C5FD4" w14:textId="77777777" w:rsidR="000F6023" w:rsidRPr="0082199E" w:rsidRDefault="000F6023">
      <w:pPr>
        <w:widowControl w:val="0"/>
        <w:spacing w:after="0" w:line="240" w:lineRule="auto"/>
        <w:ind w:left="507" w:right="63" w:hanging="389"/>
        <w:jc w:val="both"/>
        <w:rPr>
          <w:rFonts w:ascii="Times New Roman" w:eastAsia="Times New Roman" w:hAnsi="Times New Roman" w:cs="Times New Roman"/>
          <w:b/>
          <w:sz w:val="24"/>
          <w:szCs w:val="24"/>
        </w:rPr>
      </w:pPr>
    </w:p>
    <w:p w14:paraId="2B3C5FD5"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E.1. Toplumsal katkı politikası, hedefleri ve stratejisi</w:t>
      </w:r>
    </w:p>
    <w:p w14:paraId="2B3C5FD6"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ile uyumlu uygulama örnekleri</w:t>
      </w:r>
    </w:p>
    <w:p w14:paraId="2B3C5FD7"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ve hedeflerinin izlenmesi ve iyileştirilmesine ilişkin kanıtlar</w:t>
      </w:r>
    </w:p>
    <w:p w14:paraId="2B3C5FD8" w14:textId="77777777" w:rsidR="000F6023" w:rsidRPr="004360B2" w:rsidRDefault="001D06F2" w:rsidP="00782722">
      <w:pPr>
        <w:numPr>
          <w:ilvl w:val="0"/>
          <w:numId w:val="5"/>
        </w:numPr>
        <w:pBdr>
          <w:top w:val="nil"/>
          <w:left w:val="nil"/>
          <w:bottom w:val="nil"/>
          <w:right w:val="nil"/>
          <w:between w:val="nil"/>
        </w:pBdr>
        <w:spacing w:line="276" w:lineRule="auto"/>
        <w:jc w:val="both"/>
        <w:rPr>
          <w:rFonts w:ascii="Times New Roman" w:hAnsi="Times New Roman" w:cs="Times New Roman"/>
          <w:color w:val="000000"/>
        </w:rPr>
      </w:pPr>
      <w:bookmarkStart w:id="5" w:name="_3dy6vkm" w:colFirst="0" w:colLast="0"/>
      <w:bookmarkEnd w:id="5"/>
      <w:r w:rsidRPr="0082199E">
        <w:rPr>
          <w:rFonts w:ascii="Times New Roman" w:eastAsia="Times New Roman" w:hAnsi="Times New Roman" w:cs="Times New Roman"/>
          <w:color w:val="000000"/>
        </w:rPr>
        <w:t>Toplumsal katkı projeleri için sağlanan kaynaklar</w:t>
      </w:r>
    </w:p>
    <w:p w14:paraId="2B3C5FD9" w14:textId="77777777" w:rsidR="004360B2" w:rsidRPr="0082199E" w:rsidRDefault="004360B2" w:rsidP="004360B2">
      <w:pPr>
        <w:pBdr>
          <w:top w:val="nil"/>
          <w:left w:val="nil"/>
          <w:bottom w:val="nil"/>
          <w:right w:val="nil"/>
          <w:between w:val="nil"/>
        </w:pBdr>
        <w:spacing w:after="0" w:line="240" w:lineRule="auto"/>
        <w:jc w:val="both"/>
        <w:rPr>
          <w:rFonts w:ascii="Times New Roman" w:hAnsi="Times New Roman" w:cs="Times New Roman"/>
          <w:color w:val="000000"/>
        </w:rPr>
      </w:pPr>
    </w:p>
    <w:sectPr w:rsidR="004360B2" w:rsidRPr="0082199E" w:rsidSect="00C3365A">
      <w:pgSz w:w="11906" w:h="16838"/>
      <w:pgMar w:top="851" w:right="1134" w:bottom="127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Poppins">
    <w:altName w:val="Times New Roman"/>
    <w:charset w:val="A2"/>
    <w:family w:val="auto"/>
    <w:pitch w:val="variable"/>
    <w:sig w:usb0="00008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2549D"/>
    <w:multiLevelType w:val="hybridMultilevel"/>
    <w:tmpl w:val="3F2602AE"/>
    <w:lvl w:ilvl="0" w:tplc="BCCA2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025911">
    <w:abstractNumId w:val="20"/>
  </w:num>
  <w:num w:numId="2" w16cid:durableId="1383480210">
    <w:abstractNumId w:val="5"/>
  </w:num>
  <w:num w:numId="3" w16cid:durableId="294604508">
    <w:abstractNumId w:val="6"/>
  </w:num>
  <w:num w:numId="4" w16cid:durableId="457573905">
    <w:abstractNumId w:val="17"/>
  </w:num>
  <w:num w:numId="5" w16cid:durableId="867374959">
    <w:abstractNumId w:val="9"/>
  </w:num>
  <w:num w:numId="6" w16cid:durableId="333339469">
    <w:abstractNumId w:val="19"/>
  </w:num>
  <w:num w:numId="7" w16cid:durableId="1668433919">
    <w:abstractNumId w:val="14"/>
  </w:num>
  <w:num w:numId="8" w16cid:durableId="1697922018">
    <w:abstractNumId w:val="7"/>
  </w:num>
  <w:num w:numId="9" w16cid:durableId="2002542042">
    <w:abstractNumId w:val="15"/>
  </w:num>
  <w:num w:numId="10" w16cid:durableId="1035347652">
    <w:abstractNumId w:val="8"/>
  </w:num>
  <w:num w:numId="11" w16cid:durableId="791747895">
    <w:abstractNumId w:val="10"/>
  </w:num>
  <w:num w:numId="12" w16cid:durableId="1766921795">
    <w:abstractNumId w:val="1"/>
  </w:num>
  <w:num w:numId="13" w16cid:durableId="1629701453">
    <w:abstractNumId w:val="3"/>
  </w:num>
  <w:num w:numId="14" w16cid:durableId="521019708">
    <w:abstractNumId w:val="12"/>
  </w:num>
  <w:num w:numId="15" w16cid:durableId="1770152664">
    <w:abstractNumId w:val="16"/>
  </w:num>
  <w:num w:numId="16" w16cid:durableId="1222447494">
    <w:abstractNumId w:val="2"/>
  </w:num>
  <w:num w:numId="17" w16cid:durableId="840706016">
    <w:abstractNumId w:val="18"/>
  </w:num>
  <w:num w:numId="18" w16cid:durableId="2010522110">
    <w:abstractNumId w:val="4"/>
  </w:num>
  <w:num w:numId="19" w16cid:durableId="1465349380">
    <w:abstractNumId w:val="0"/>
  </w:num>
  <w:num w:numId="20" w16cid:durableId="1046415269">
    <w:abstractNumId w:val="13"/>
  </w:num>
  <w:num w:numId="21" w16cid:durableId="1288925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23"/>
    <w:rsid w:val="00000AC8"/>
    <w:rsid w:val="0001609A"/>
    <w:rsid w:val="000222E5"/>
    <w:rsid w:val="00075322"/>
    <w:rsid w:val="000D736E"/>
    <w:rsid w:val="000F0CC0"/>
    <w:rsid w:val="000F6023"/>
    <w:rsid w:val="00117583"/>
    <w:rsid w:val="00137557"/>
    <w:rsid w:val="00146B11"/>
    <w:rsid w:val="001559BB"/>
    <w:rsid w:val="001725B3"/>
    <w:rsid w:val="00180607"/>
    <w:rsid w:val="001842C2"/>
    <w:rsid w:val="00197989"/>
    <w:rsid w:val="001D06F2"/>
    <w:rsid w:val="001E13CB"/>
    <w:rsid w:val="001E694F"/>
    <w:rsid w:val="002077E2"/>
    <w:rsid w:val="0029235C"/>
    <w:rsid w:val="00296D89"/>
    <w:rsid w:val="002D15A4"/>
    <w:rsid w:val="00305B4A"/>
    <w:rsid w:val="003A382C"/>
    <w:rsid w:val="003E0D88"/>
    <w:rsid w:val="003E67B3"/>
    <w:rsid w:val="00406F08"/>
    <w:rsid w:val="00412A41"/>
    <w:rsid w:val="004360B2"/>
    <w:rsid w:val="00465685"/>
    <w:rsid w:val="0047051D"/>
    <w:rsid w:val="0051390A"/>
    <w:rsid w:val="00531744"/>
    <w:rsid w:val="006E4FF1"/>
    <w:rsid w:val="007156BA"/>
    <w:rsid w:val="00731DAC"/>
    <w:rsid w:val="00742343"/>
    <w:rsid w:val="00782722"/>
    <w:rsid w:val="00790B72"/>
    <w:rsid w:val="00795672"/>
    <w:rsid w:val="0082199E"/>
    <w:rsid w:val="00825F3C"/>
    <w:rsid w:val="00831949"/>
    <w:rsid w:val="00855D02"/>
    <w:rsid w:val="008C0D17"/>
    <w:rsid w:val="008D6206"/>
    <w:rsid w:val="008E0C0D"/>
    <w:rsid w:val="00926A50"/>
    <w:rsid w:val="009717F8"/>
    <w:rsid w:val="00972A71"/>
    <w:rsid w:val="009E2085"/>
    <w:rsid w:val="00A01ACF"/>
    <w:rsid w:val="00A6192B"/>
    <w:rsid w:val="00A61F97"/>
    <w:rsid w:val="00A711D7"/>
    <w:rsid w:val="00A7319D"/>
    <w:rsid w:val="00AA43C4"/>
    <w:rsid w:val="00AB5E2B"/>
    <w:rsid w:val="00AC2B5E"/>
    <w:rsid w:val="00AC6F54"/>
    <w:rsid w:val="00B205BD"/>
    <w:rsid w:val="00B66F4D"/>
    <w:rsid w:val="00B6733C"/>
    <w:rsid w:val="00B9780D"/>
    <w:rsid w:val="00BA76FD"/>
    <w:rsid w:val="00BF09C6"/>
    <w:rsid w:val="00C3365A"/>
    <w:rsid w:val="00C359D9"/>
    <w:rsid w:val="00C4354C"/>
    <w:rsid w:val="00C47EC0"/>
    <w:rsid w:val="00C7634C"/>
    <w:rsid w:val="00CD1C4E"/>
    <w:rsid w:val="00D04594"/>
    <w:rsid w:val="00D163BD"/>
    <w:rsid w:val="00DE0665"/>
    <w:rsid w:val="00DF0AA9"/>
    <w:rsid w:val="00E04952"/>
    <w:rsid w:val="00E10CD7"/>
    <w:rsid w:val="00E646EE"/>
    <w:rsid w:val="00ED2AC4"/>
    <w:rsid w:val="00ED3A9F"/>
    <w:rsid w:val="00ED450A"/>
    <w:rsid w:val="00ED510F"/>
    <w:rsid w:val="00EF59A1"/>
    <w:rsid w:val="00F3264D"/>
    <w:rsid w:val="00F55554"/>
    <w:rsid w:val="00F8373F"/>
    <w:rsid w:val="00FA5187"/>
    <w:rsid w:val="00FD3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E89"/>
  <w15:docId w15:val="{0C422E27-ADA6-4880-83B2-EAD730CB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BalonMetni">
    <w:name w:val="Balloon Text"/>
    <w:basedOn w:val="Normal"/>
    <w:link w:val="BalonMetniChar"/>
    <w:uiPriority w:val="99"/>
    <w:semiHidden/>
    <w:unhideWhenUsed/>
    <w:rsid w:val="00412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A41"/>
    <w:rPr>
      <w:rFonts w:ascii="Tahoma" w:hAnsi="Tahoma" w:cs="Tahoma"/>
      <w:sz w:val="16"/>
      <w:szCs w:val="16"/>
    </w:rPr>
  </w:style>
  <w:style w:type="paragraph" w:customStyle="1" w:styleId="TabloiFont">
    <w:name w:val="Tablo İçi Font"/>
    <w:basedOn w:val="Normal"/>
    <w:qFormat/>
    <w:rsid w:val="00412A41"/>
    <w:pPr>
      <w:spacing w:after="0" w:line="240" w:lineRule="auto"/>
      <w:jc w:val="center"/>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5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2115</Words>
  <Characters>12059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mürsel öter</cp:lastModifiedBy>
  <cp:revision>2</cp:revision>
  <dcterms:created xsi:type="dcterms:W3CDTF">2025-01-02T06:37:00Z</dcterms:created>
  <dcterms:modified xsi:type="dcterms:W3CDTF">2025-01-02T06:37:00Z</dcterms:modified>
</cp:coreProperties>
</file>