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E7531" w14:textId="77777777" w:rsidR="005D4AA9" w:rsidRPr="00A67503" w:rsidRDefault="005D4AA9" w:rsidP="00A31C13">
      <w:pPr>
        <w:spacing w:after="120" w:line="240" w:lineRule="auto"/>
        <w:rPr>
          <w:rFonts w:ascii="Times New Roman" w:hAnsi="Times New Roman" w:cs="Times New Roman"/>
        </w:rPr>
      </w:pPr>
      <w:r w:rsidRPr="00A67503">
        <w:rPr>
          <w:rFonts w:ascii="Times New Roman" w:hAnsi="Times New Roman" w:cs="Times New Roman"/>
          <w:noProof/>
          <w:lang w:eastAsia="tr-TR"/>
        </w:rPr>
        <w:drawing>
          <wp:anchor distT="0" distB="0" distL="114300" distR="114300" simplePos="0" relativeHeight="251660288" behindDoc="1" locked="0" layoutInCell="1" allowOverlap="1" wp14:anchorId="5AAB73DF" wp14:editId="2A5B6AA9">
            <wp:simplePos x="0" y="0"/>
            <wp:positionH relativeFrom="column">
              <wp:posOffset>4851400</wp:posOffset>
            </wp:positionH>
            <wp:positionV relativeFrom="paragraph">
              <wp:posOffset>-163195</wp:posOffset>
            </wp:positionV>
            <wp:extent cx="1271270" cy="1070610"/>
            <wp:effectExtent l="0" t="0" r="5080" b="0"/>
            <wp:wrapNone/>
            <wp:docPr id="3" name="Resim 3" descr="metin, daire,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daire, grafik, logo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1270" cy="1070610"/>
                    </a:xfrm>
                    <a:prstGeom prst="rect">
                      <a:avLst/>
                    </a:prstGeom>
                    <a:noFill/>
                  </pic:spPr>
                </pic:pic>
              </a:graphicData>
            </a:graphic>
            <wp14:sizeRelH relativeFrom="page">
              <wp14:pctWidth>0</wp14:pctWidth>
            </wp14:sizeRelH>
            <wp14:sizeRelV relativeFrom="page">
              <wp14:pctHeight>0</wp14:pctHeight>
            </wp14:sizeRelV>
          </wp:anchor>
        </w:drawing>
      </w:r>
      <w:r w:rsidRPr="00A67503">
        <w:rPr>
          <w:rFonts w:ascii="Times New Roman" w:hAnsi="Times New Roman" w:cs="Times New Roman"/>
          <w:noProof/>
          <w:lang w:eastAsia="tr-TR"/>
        </w:rPr>
        <w:drawing>
          <wp:anchor distT="0" distB="0" distL="114300" distR="114300" simplePos="0" relativeHeight="251659264" behindDoc="1" locked="0" layoutInCell="1" allowOverlap="1" wp14:anchorId="6E5890AB" wp14:editId="10178ECB">
            <wp:simplePos x="0" y="0"/>
            <wp:positionH relativeFrom="page">
              <wp:posOffset>956945</wp:posOffset>
            </wp:positionH>
            <wp:positionV relativeFrom="page">
              <wp:posOffset>948690</wp:posOffset>
            </wp:positionV>
            <wp:extent cx="636270" cy="636270"/>
            <wp:effectExtent l="0" t="0" r="0" b="0"/>
            <wp:wrapNone/>
            <wp:docPr id="2" name="Resim 2" descr="metin,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daire, amblem, logo içeren bir resim&#10;&#10;Açıklama otomatik olarak oluşturuldu"/>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p>
    <w:p w14:paraId="79929E55" w14:textId="77777777" w:rsidR="005D4AA9" w:rsidRPr="00A67503" w:rsidRDefault="005D4AA9" w:rsidP="00A31C13">
      <w:pPr>
        <w:spacing w:after="120" w:line="240" w:lineRule="auto"/>
        <w:rPr>
          <w:rFonts w:ascii="Times New Roman" w:hAnsi="Times New Roman" w:cs="Times New Roman"/>
        </w:rPr>
      </w:pPr>
    </w:p>
    <w:p w14:paraId="08D1124D" w14:textId="77777777" w:rsidR="005D4AA9" w:rsidRPr="00A67503" w:rsidRDefault="005D4AA9" w:rsidP="00A31C13">
      <w:pPr>
        <w:spacing w:after="120" w:line="240" w:lineRule="auto"/>
        <w:rPr>
          <w:rFonts w:ascii="Times New Roman" w:eastAsia="Times New Roman" w:hAnsi="Times New Roman" w:cs="Times New Roman"/>
        </w:rPr>
      </w:pPr>
      <w:bookmarkStart w:id="0" w:name="page1"/>
      <w:bookmarkEnd w:id="0"/>
    </w:p>
    <w:p w14:paraId="57B7CB58" w14:textId="77777777" w:rsidR="005D4AA9" w:rsidRPr="00A67503" w:rsidRDefault="005D4AA9" w:rsidP="00A31C13">
      <w:pPr>
        <w:spacing w:after="120" w:line="240" w:lineRule="auto"/>
        <w:rPr>
          <w:rFonts w:ascii="Times New Roman" w:eastAsia="Times New Roman" w:hAnsi="Times New Roman" w:cs="Times New Roman"/>
        </w:rPr>
      </w:pPr>
    </w:p>
    <w:p w14:paraId="4100D1B9" w14:textId="77777777" w:rsidR="005D4AA9" w:rsidRPr="00A67503" w:rsidRDefault="005D4AA9" w:rsidP="00A31C13">
      <w:pPr>
        <w:spacing w:after="120" w:line="240" w:lineRule="auto"/>
        <w:ind w:right="-839"/>
        <w:jc w:val="center"/>
        <w:rPr>
          <w:rFonts w:ascii="Times New Roman" w:hAnsi="Times New Roman" w:cs="Times New Roman"/>
          <w:b/>
        </w:rPr>
      </w:pPr>
    </w:p>
    <w:p w14:paraId="577A8F7B"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13DF4365"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772927C5" w14:textId="77777777" w:rsidR="005D4AA9" w:rsidRPr="00DA5CCE" w:rsidRDefault="005D4AA9" w:rsidP="00A31C13">
      <w:pPr>
        <w:spacing w:after="120" w:line="240" w:lineRule="auto"/>
        <w:ind w:right="-839"/>
        <w:jc w:val="center"/>
        <w:rPr>
          <w:rFonts w:ascii="Times New Roman" w:hAnsi="Times New Roman" w:cs="Times New Roman"/>
          <w:b/>
          <w:sz w:val="32"/>
          <w:szCs w:val="32"/>
        </w:rPr>
      </w:pPr>
      <w:r w:rsidRPr="00DA5CCE">
        <w:rPr>
          <w:rFonts w:ascii="Times New Roman" w:hAnsi="Times New Roman" w:cs="Times New Roman"/>
          <w:b/>
          <w:sz w:val="32"/>
          <w:szCs w:val="32"/>
        </w:rPr>
        <w:t>T.C.</w:t>
      </w:r>
    </w:p>
    <w:p w14:paraId="00E7A59C" w14:textId="77777777" w:rsidR="005D4AA9" w:rsidRPr="00DA5CCE" w:rsidRDefault="005D4AA9" w:rsidP="00A31C13">
      <w:pPr>
        <w:spacing w:after="120" w:line="240" w:lineRule="auto"/>
        <w:ind w:right="-839"/>
        <w:jc w:val="center"/>
        <w:rPr>
          <w:rFonts w:ascii="Times New Roman" w:hAnsi="Times New Roman" w:cs="Times New Roman"/>
          <w:b/>
          <w:sz w:val="32"/>
          <w:szCs w:val="32"/>
        </w:rPr>
      </w:pPr>
      <w:r w:rsidRPr="00DA5CCE">
        <w:rPr>
          <w:rFonts w:ascii="Times New Roman" w:hAnsi="Times New Roman" w:cs="Times New Roman"/>
          <w:b/>
          <w:sz w:val="32"/>
          <w:szCs w:val="32"/>
        </w:rPr>
        <w:t>NİĞDE ÖMER HALİSDEMİR ÜNİVERSİTESİ</w:t>
      </w:r>
    </w:p>
    <w:p w14:paraId="51C8FAA8" w14:textId="77777777" w:rsidR="005D4AA9" w:rsidRPr="00DA5CCE" w:rsidRDefault="005D4AA9" w:rsidP="00A31C13">
      <w:pPr>
        <w:spacing w:after="120" w:line="240" w:lineRule="auto"/>
        <w:ind w:right="-839"/>
        <w:jc w:val="center"/>
        <w:rPr>
          <w:rFonts w:ascii="Times New Roman" w:hAnsi="Times New Roman" w:cs="Times New Roman"/>
          <w:b/>
          <w:sz w:val="32"/>
          <w:szCs w:val="32"/>
        </w:rPr>
      </w:pPr>
      <w:r w:rsidRPr="00DA5CCE">
        <w:rPr>
          <w:rFonts w:ascii="Times New Roman" w:hAnsi="Times New Roman" w:cs="Times New Roman"/>
          <w:b/>
          <w:sz w:val="32"/>
          <w:szCs w:val="32"/>
        </w:rPr>
        <w:t>İLETİŞİM FAKÜLTESİ</w:t>
      </w:r>
    </w:p>
    <w:p w14:paraId="2644E696"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3C4EC87B"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356DF52B"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56634E55"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3AC0F94E"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18290ACB"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798FBEF9" w14:textId="77777777" w:rsidR="005D4AA9" w:rsidRPr="00DA5CCE" w:rsidRDefault="005D4AA9" w:rsidP="00A31C13">
      <w:pPr>
        <w:spacing w:after="120" w:line="240" w:lineRule="auto"/>
        <w:ind w:right="-839"/>
        <w:jc w:val="center"/>
        <w:rPr>
          <w:rFonts w:ascii="Times New Roman" w:hAnsi="Times New Roman" w:cs="Times New Roman"/>
          <w:b/>
          <w:sz w:val="32"/>
          <w:szCs w:val="32"/>
        </w:rPr>
      </w:pPr>
    </w:p>
    <w:p w14:paraId="1A9E3D43" w14:textId="5CF4D03F" w:rsidR="005D4AA9" w:rsidRPr="00DA5CCE" w:rsidRDefault="005D4AA9" w:rsidP="00A31C13">
      <w:pPr>
        <w:spacing w:after="120" w:line="240" w:lineRule="auto"/>
        <w:ind w:right="-839"/>
        <w:jc w:val="center"/>
        <w:rPr>
          <w:rFonts w:ascii="Times New Roman" w:hAnsi="Times New Roman" w:cs="Times New Roman"/>
          <w:b/>
          <w:sz w:val="32"/>
          <w:szCs w:val="32"/>
        </w:rPr>
      </w:pPr>
      <w:r w:rsidRPr="00DA5CCE">
        <w:rPr>
          <w:rFonts w:ascii="Times New Roman" w:hAnsi="Times New Roman" w:cs="Times New Roman"/>
          <w:b/>
          <w:sz w:val="32"/>
          <w:szCs w:val="32"/>
        </w:rPr>
        <w:t>DANIŞMA KURULU TOPLANTISI</w:t>
      </w:r>
    </w:p>
    <w:p w14:paraId="43A0EEE8" w14:textId="77777777" w:rsidR="005D4AA9" w:rsidRPr="00DA5CCE" w:rsidRDefault="005D4AA9" w:rsidP="00A31C13">
      <w:pPr>
        <w:spacing w:after="120" w:line="240" w:lineRule="auto"/>
        <w:ind w:right="-839"/>
        <w:jc w:val="center"/>
        <w:rPr>
          <w:rFonts w:ascii="Times New Roman" w:hAnsi="Times New Roman" w:cs="Times New Roman"/>
          <w:b/>
          <w:sz w:val="32"/>
          <w:szCs w:val="32"/>
        </w:rPr>
      </w:pPr>
      <w:r w:rsidRPr="00DA5CCE">
        <w:rPr>
          <w:rFonts w:ascii="Times New Roman" w:hAnsi="Times New Roman" w:cs="Times New Roman"/>
          <w:b/>
          <w:sz w:val="32"/>
          <w:szCs w:val="32"/>
        </w:rPr>
        <w:t>RAPORU</w:t>
      </w:r>
    </w:p>
    <w:p w14:paraId="0FFA23A2" w14:textId="77777777" w:rsidR="005D4AA9" w:rsidRPr="00DA5CCE" w:rsidRDefault="005D4AA9" w:rsidP="00A31C13">
      <w:pPr>
        <w:spacing w:after="120" w:line="240" w:lineRule="auto"/>
        <w:jc w:val="center"/>
        <w:rPr>
          <w:rFonts w:ascii="Times New Roman" w:eastAsia="Times New Roman" w:hAnsi="Times New Roman" w:cs="Times New Roman"/>
          <w:sz w:val="32"/>
          <w:szCs w:val="32"/>
        </w:rPr>
      </w:pPr>
    </w:p>
    <w:p w14:paraId="0A35C02B" w14:textId="77777777" w:rsidR="005D4AA9" w:rsidRPr="00A67503" w:rsidRDefault="005D4AA9" w:rsidP="00A31C13">
      <w:pPr>
        <w:spacing w:after="120" w:line="240" w:lineRule="auto"/>
        <w:jc w:val="center"/>
        <w:rPr>
          <w:rFonts w:ascii="Times New Roman" w:eastAsia="Times New Roman" w:hAnsi="Times New Roman" w:cs="Times New Roman"/>
        </w:rPr>
      </w:pPr>
    </w:p>
    <w:p w14:paraId="4B19DB95" w14:textId="77777777" w:rsidR="005D4AA9" w:rsidRPr="00A67503" w:rsidRDefault="005D4AA9" w:rsidP="00A31C13">
      <w:pPr>
        <w:spacing w:after="120" w:line="240" w:lineRule="auto"/>
        <w:jc w:val="center"/>
        <w:rPr>
          <w:rFonts w:ascii="Times New Roman" w:eastAsia="Times New Roman" w:hAnsi="Times New Roman" w:cs="Times New Roman"/>
        </w:rPr>
      </w:pPr>
    </w:p>
    <w:p w14:paraId="3A09B22E" w14:textId="77777777" w:rsidR="005D4AA9" w:rsidRPr="00A67503" w:rsidRDefault="005D4AA9" w:rsidP="00A31C13">
      <w:pPr>
        <w:spacing w:after="120" w:line="240" w:lineRule="auto"/>
        <w:jc w:val="center"/>
        <w:rPr>
          <w:rFonts w:ascii="Times New Roman" w:eastAsia="Times New Roman" w:hAnsi="Times New Roman" w:cs="Times New Roman"/>
        </w:rPr>
      </w:pPr>
    </w:p>
    <w:p w14:paraId="21055A64" w14:textId="77777777" w:rsidR="005D4AA9" w:rsidRPr="00A67503" w:rsidRDefault="005D4AA9" w:rsidP="00A31C13">
      <w:pPr>
        <w:spacing w:after="120" w:line="240" w:lineRule="auto"/>
        <w:jc w:val="center"/>
        <w:rPr>
          <w:rFonts w:ascii="Times New Roman" w:eastAsia="Times New Roman" w:hAnsi="Times New Roman" w:cs="Times New Roman"/>
        </w:rPr>
      </w:pPr>
    </w:p>
    <w:p w14:paraId="65697356" w14:textId="77777777" w:rsidR="005D4AA9" w:rsidRPr="00A67503" w:rsidRDefault="005D4AA9" w:rsidP="00A31C13">
      <w:pPr>
        <w:spacing w:after="120" w:line="240" w:lineRule="auto"/>
        <w:jc w:val="center"/>
        <w:rPr>
          <w:rFonts w:ascii="Times New Roman" w:eastAsia="Times New Roman" w:hAnsi="Times New Roman" w:cs="Times New Roman"/>
        </w:rPr>
      </w:pPr>
    </w:p>
    <w:p w14:paraId="197A8F40" w14:textId="77777777" w:rsidR="005D4AA9" w:rsidRPr="00A67503" w:rsidRDefault="005D4AA9" w:rsidP="00A31C13">
      <w:pPr>
        <w:spacing w:after="120" w:line="240" w:lineRule="auto"/>
        <w:jc w:val="center"/>
        <w:rPr>
          <w:rFonts w:ascii="Times New Roman" w:eastAsia="Times New Roman" w:hAnsi="Times New Roman" w:cs="Times New Roman"/>
        </w:rPr>
      </w:pPr>
    </w:p>
    <w:p w14:paraId="0DD63809" w14:textId="77777777" w:rsidR="005D4AA9" w:rsidRPr="00A67503" w:rsidRDefault="005D4AA9" w:rsidP="00A31C13">
      <w:pPr>
        <w:spacing w:after="120" w:line="240" w:lineRule="auto"/>
        <w:jc w:val="center"/>
        <w:rPr>
          <w:rFonts w:ascii="Times New Roman" w:eastAsia="Times New Roman" w:hAnsi="Times New Roman" w:cs="Times New Roman"/>
        </w:rPr>
      </w:pPr>
    </w:p>
    <w:p w14:paraId="6E306412" w14:textId="0F486120" w:rsidR="005D4AA9" w:rsidRPr="00DA5CCE" w:rsidRDefault="00136282" w:rsidP="00A31C13">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2025</w:t>
      </w:r>
    </w:p>
    <w:p w14:paraId="517BE639" w14:textId="77777777" w:rsidR="005D4AA9" w:rsidRPr="00A67503" w:rsidRDefault="005D4AA9" w:rsidP="00A31C13">
      <w:pPr>
        <w:spacing w:after="120" w:line="240" w:lineRule="auto"/>
        <w:rPr>
          <w:rFonts w:ascii="Times New Roman" w:eastAsia="Times New Roman" w:hAnsi="Times New Roman" w:cs="Times New Roman"/>
        </w:rPr>
      </w:pPr>
    </w:p>
    <w:p w14:paraId="193BF0E6" w14:textId="77777777" w:rsidR="005D4AA9" w:rsidRPr="00A67503" w:rsidRDefault="005D4AA9" w:rsidP="00A31C13">
      <w:pPr>
        <w:spacing w:after="120" w:line="240" w:lineRule="auto"/>
        <w:rPr>
          <w:rFonts w:ascii="Times New Roman" w:eastAsia="Times New Roman" w:hAnsi="Times New Roman" w:cs="Times New Roman"/>
        </w:rPr>
      </w:pPr>
    </w:p>
    <w:p w14:paraId="2B957961" w14:textId="3DB6C15E" w:rsidR="005D4AA9" w:rsidRPr="00BB1178" w:rsidRDefault="005D4AA9" w:rsidP="00A31C13">
      <w:pPr>
        <w:tabs>
          <w:tab w:val="left" w:pos="3710"/>
        </w:tabs>
        <w:spacing w:after="120" w:line="240" w:lineRule="auto"/>
        <w:jc w:val="both"/>
        <w:rPr>
          <w:rFonts w:ascii="Times New Roman" w:hAnsi="Times New Roman" w:cs="Times New Roman"/>
          <w:sz w:val="24"/>
          <w:szCs w:val="24"/>
        </w:rPr>
      </w:pPr>
      <w:r w:rsidRPr="00BB1178">
        <w:rPr>
          <w:rFonts w:ascii="Times New Roman" w:hAnsi="Times New Roman" w:cs="Times New Roman"/>
          <w:sz w:val="24"/>
          <w:szCs w:val="24"/>
        </w:rPr>
        <w:t>İletişim Fa</w:t>
      </w:r>
      <w:r w:rsidR="00655E20" w:rsidRPr="00BB1178">
        <w:rPr>
          <w:rFonts w:ascii="Times New Roman" w:hAnsi="Times New Roman" w:cs="Times New Roman"/>
          <w:sz w:val="24"/>
          <w:szCs w:val="24"/>
        </w:rPr>
        <w:t>kültesi Kalite Komisyonu’nun 26</w:t>
      </w:r>
      <w:r w:rsidR="00136282" w:rsidRPr="00BB1178">
        <w:rPr>
          <w:rFonts w:ascii="Times New Roman" w:hAnsi="Times New Roman" w:cs="Times New Roman"/>
          <w:sz w:val="24"/>
          <w:szCs w:val="24"/>
        </w:rPr>
        <w:t>/12/2025</w:t>
      </w:r>
      <w:r w:rsidR="00655E20" w:rsidRPr="00BB1178">
        <w:rPr>
          <w:rFonts w:ascii="Times New Roman" w:hAnsi="Times New Roman" w:cs="Times New Roman"/>
          <w:sz w:val="24"/>
          <w:szCs w:val="24"/>
        </w:rPr>
        <w:t xml:space="preserve"> tarihli ve 202</w:t>
      </w:r>
      <w:r w:rsidR="00136282" w:rsidRPr="00BB1178">
        <w:rPr>
          <w:rFonts w:ascii="Times New Roman" w:hAnsi="Times New Roman" w:cs="Times New Roman"/>
          <w:sz w:val="24"/>
          <w:szCs w:val="24"/>
        </w:rPr>
        <w:t>5/14</w:t>
      </w:r>
      <w:r w:rsidRPr="00BB1178">
        <w:rPr>
          <w:rFonts w:ascii="Times New Roman" w:hAnsi="Times New Roman" w:cs="Times New Roman"/>
          <w:sz w:val="24"/>
          <w:szCs w:val="24"/>
        </w:rPr>
        <w:t xml:space="preserve"> sayılı kararı ile fakültenin web sayfasında yayınlanmak üzere kabul edilmiştir. </w:t>
      </w:r>
    </w:p>
    <w:p w14:paraId="272510E3" w14:textId="77777777" w:rsidR="00B220D4" w:rsidRPr="00BB1178" w:rsidRDefault="00B220D4" w:rsidP="00A31C13">
      <w:pPr>
        <w:tabs>
          <w:tab w:val="left" w:pos="3710"/>
        </w:tabs>
        <w:spacing w:after="120" w:line="240" w:lineRule="auto"/>
        <w:jc w:val="both"/>
        <w:rPr>
          <w:rFonts w:ascii="Times New Roman" w:eastAsia="Times New Roman" w:hAnsi="Times New Roman" w:cs="Times New Roman"/>
          <w:sz w:val="24"/>
          <w:szCs w:val="24"/>
        </w:rPr>
      </w:pPr>
    </w:p>
    <w:p w14:paraId="5BD945E7" w14:textId="77777777" w:rsidR="009F0758" w:rsidRPr="00BB1178" w:rsidRDefault="009F0758" w:rsidP="009F0758">
      <w:pPr>
        <w:jc w:val="center"/>
        <w:rPr>
          <w:rFonts w:ascii="Times New Roman" w:hAnsi="Times New Roman" w:cs="Times New Roman"/>
          <w:b/>
          <w:sz w:val="24"/>
          <w:szCs w:val="24"/>
        </w:rPr>
      </w:pPr>
      <w:r w:rsidRPr="00BB1178">
        <w:rPr>
          <w:rFonts w:ascii="Times New Roman" w:hAnsi="Times New Roman" w:cs="Times New Roman"/>
          <w:b/>
          <w:sz w:val="24"/>
          <w:szCs w:val="24"/>
        </w:rPr>
        <w:lastRenderedPageBreak/>
        <w:t>İLETİŞİM FAKÜLTESİ</w:t>
      </w:r>
    </w:p>
    <w:p w14:paraId="395B83AA" w14:textId="77777777" w:rsidR="009F0758" w:rsidRPr="00BB1178" w:rsidRDefault="009F0758" w:rsidP="009F0758">
      <w:pPr>
        <w:jc w:val="center"/>
        <w:rPr>
          <w:rFonts w:ascii="Times New Roman" w:hAnsi="Times New Roman" w:cs="Times New Roman"/>
          <w:sz w:val="24"/>
          <w:szCs w:val="24"/>
        </w:rPr>
      </w:pPr>
      <w:r w:rsidRPr="00BB1178">
        <w:rPr>
          <w:rFonts w:ascii="Times New Roman" w:hAnsi="Times New Roman" w:cs="Times New Roman"/>
          <w:b/>
          <w:sz w:val="24"/>
          <w:szCs w:val="24"/>
        </w:rPr>
        <w:t xml:space="preserve">  DANIŞMA KURULU TOPLANTISI RAPORU</w:t>
      </w:r>
    </w:p>
    <w:p w14:paraId="7AB406A0" w14:textId="77777777" w:rsidR="009F0758" w:rsidRPr="00BB1178" w:rsidRDefault="009F0758" w:rsidP="009F0758">
      <w:pPr>
        <w:rPr>
          <w:rFonts w:ascii="Times New Roman" w:hAnsi="Times New Roman" w:cs="Times New Roman"/>
          <w:sz w:val="24"/>
          <w:szCs w:val="24"/>
        </w:rPr>
      </w:pPr>
      <w:r w:rsidRPr="00BB1178">
        <w:rPr>
          <w:rFonts w:ascii="Times New Roman" w:hAnsi="Times New Roman" w:cs="Times New Roman"/>
          <w:b/>
          <w:sz w:val="24"/>
          <w:szCs w:val="24"/>
        </w:rPr>
        <w:t>Tarih:</w:t>
      </w:r>
      <w:r w:rsidRPr="00BB1178">
        <w:rPr>
          <w:rFonts w:ascii="Times New Roman" w:hAnsi="Times New Roman" w:cs="Times New Roman"/>
          <w:sz w:val="24"/>
          <w:szCs w:val="24"/>
        </w:rPr>
        <w:t xml:space="preserve"> 23.12.2025 / 15.00 </w:t>
      </w:r>
    </w:p>
    <w:p w14:paraId="676F2999" w14:textId="77777777" w:rsidR="009F0758" w:rsidRPr="00BB1178" w:rsidRDefault="009F0758" w:rsidP="009F0758">
      <w:pPr>
        <w:spacing w:after="240"/>
        <w:rPr>
          <w:rFonts w:ascii="Times New Roman" w:hAnsi="Times New Roman" w:cs="Times New Roman"/>
          <w:sz w:val="24"/>
          <w:szCs w:val="24"/>
        </w:rPr>
      </w:pPr>
      <w:r w:rsidRPr="00BB1178">
        <w:rPr>
          <w:rFonts w:ascii="Times New Roman" w:hAnsi="Times New Roman" w:cs="Times New Roman"/>
          <w:b/>
          <w:sz w:val="24"/>
          <w:szCs w:val="24"/>
        </w:rPr>
        <w:t>Yer:</w:t>
      </w:r>
      <w:r w:rsidRPr="00BB1178">
        <w:rPr>
          <w:rFonts w:ascii="Times New Roman" w:hAnsi="Times New Roman" w:cs="Times New Roman"/>
          <w:sz w:val="24"/>
          <w:szCs w:val="24"/>
        </w:rPr>
        <w:t xml:space="preserve"> İletişim Fakültesi Toplantı Salonu </w:t>
      </w:r>
    </w:p>
    <w:p w14:paraId="2A3A42F8" w14:textId="77777777" w:rsidR="009F0758" w:rsidRPr="00BB1178" w:rsidRDefault="009F0758" w:rsidP="009F0758">
      <w:pPr>
        <w:jc w:val="both"/>
        <w:rPr>
          <w:rFonts w:ascii="Times New Roman" w:hAnsi="Times New Roman" w:cs="Times New Roman"/>
          <w:sz w:val="24"/>
          <w:szCs w:val="24"/>
          <w:u w:val="single"/>
        </w:rPr>
      </w:pPr>
      <w:r w:rsidRPr="00BB1178">
        <w:rPr>
          <w:rFonts w:ascii="Times New Roman" w:hAnsi="Times New Roman" w:cs="Times New Roman"/>
          <w:b/>
          <w:sz w:val="24"/>
          <w:szCs w:val="24"/>
          <w:u w:val="single"/>
        </w:rPr>
        <w:t>GÜNDEM:</w:t>
      </w:r>
      <w:r w:rsidRPr="00BB1178">
        <w:rPr>
          <w:rFonts w:ascii="Times New Roman" w:hAnsi="Times New Roman" w:cs="Times New Roman"/>
          <w:sz w:val="24"/>
          <w:szCs w:val="24"/>
          <w:u w:val="single"/>
        </w:rPr>
        <w:t xml:space="preserve"> </w:t>
      </w:r>
    </w:p>
    <w:p w14:paraId="507C548C"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Halkla İlişkiler ve Reklamcılık Bölümü ders planında, 2026-2027 Eğitim-Öğretim Yılından itibaren uygulanmak üzere yapılması planlanan değişikliklerin görüşülmesi.</w:t>
      </w:r>
    </w:p>
    <w:p w14:paraId="4CC46C2E"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Gazetecilik Bölümünün müfredat geliştirme çalışmalarına ilişkin görüşlerin alınması.</w:t>
      </w:r>
    </w:p>
    <w:p w14:paraId="2676FB14"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Radyo, Televizyon ve Sinema Bölümünde yeni seçmeli ders önerileri ile ders programının güncellenmesine ilişkin görüşlerin alınması.</w:t>
      </w:r>
    </w:p>
    <w:p w14:paraId="3D8AE3FD"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 xml:space="preserve">Yeni Medya ve İletişim Bölümü tarafından; müfredatın </w:t>
      </w:r>
      <w:proofErr w:type="spellStart"/>
      <w:r w:rsidRPr="00BB1178">
        <w:rPr>
          <w:rFonts w:ascii="Times New Roman" w:eastAsia="Times New Roman" w:hAnsi="Times New Roman" w:cs="Times New Roman"/>
          <w:color w:val="212529"/>
          <w:spacing w:val="-2"/>
          <w:sz w:val="24"/>
          <w:szCs w:val="24"/>
          <w:lang w:eastAsia="tr-TR"/>
        </w:rPr>
        <w:t>sektörel</w:t>
      </w:r>
      <w:proofErr w:type="spellEnd"/>
      <w:r w:rsidRPr="00BB1178">
        <w:rPr>
          <w:rFonts w:ascii="Times New Roman" w:eastAsia="Times New Roman" w:hAnsi="Times New Roman" w:cs="Times New Roman"/>
          <w:color w:val="212529"/>
          <w:spacing w:val="-2"/>
          <w:sz w:val="24"/>
          <w:szCs w:val="24"/>
          <w:lang w:eastAsia="tr-TR"/>
        </w:rPr>
        <w:t xml:space="preserve"> ihtiyaçlara uyarlanması, yeni alanların </w:t>
      </w:r>
      <w:proofErr w:type="gramStart"/>
      <w:r w:rsidRPr="00BB1178">
        <w:rPr>
          <w:rFonts w:ascii="Times New Roman" w:eastAsia="Times New Roman" w:hAnsi="Times New Roman" w:cs="Times New Roman"/>
          <w:color w:val="212529"/>
          <w:spacing w:val="-2"/>
          <w:sz w:val="24"/>
          <w:szCs w:val="24"/>
          <w:lang w:eastAsia="tr-TR"/>
        </w:rPr>
        <w:t>entegrasyonu</w:t>
      </w:r>
      <w:proofErr w:type="gramEnd"/>
      <w:r w:rsidRPr="00BB1178">
        <w:rPr>
          <w:rFonts w:ascii="Times New Roman" w:eastAsia="Times New Roman" w:hAnsi="Times New Roman" w:cs="Times New Roman"/>
          <w:color w:val="212529"/>
          <w:spacing w:val="-2"/>
          <w:sz w:val="24"/>
          <w:szCs w:val="24"/>
          <w:lang w:eastAsia="tr-TR"/>
        </w:rPr>
        <w:t xml:space="preserve">, sektörle iş birliği mekanizmalarının güçlendirilmesi ve </w:t>
      </w:r>
      <w:proofErr w:type="spellStart"/>
      <w:r w:rsidRPr="00BB1178">
        <w:rPr>
          <w:rFonts w:ascii="Times New Roman" w:eastAsia="Times New Roman" w:hAnsi="Times New Roman" w:cs="Times New Roman"/>
          <w:color w:val="212529"/>
          <w:spacing w:val="-2"/>
          <w:sz w:val="24"/>
          <w:szCs w:val="24"/>
          <w:lang w:eastAsia="tr-TR"/>
        </w:rPr>
        <w:t>mentorluk</w:t>
      </w:r>
      <w:proofErr w:type="spellEnd"/>
      <w:r w:rsidRPr="00BB1178">
        <w:rPr>
          <w:rFonts w:ascii="Times New Roman" w:eastAsia="Times New Roman" w:hAnsi="Times New Roman" w:cs="Times New Roman"/>
          <w:color w:val="212529"/>
          <w:spacing w:val="-2"/>
          <w:sz w:val="24"/>
          <w:szCs w:val="24"/>
          <w:lang w:eastAsia="tr-TR"/>
        </w:rPr>
        <w:t xml:space="preserve"> programlarına ilişkin görüşlerin alınması.</w:t>
      </w:r>
    </w:p>
    <w:p w14:paraId="145943D2"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Yeni Medya ve İletişim Bölümünün teknik altyapısının güçlendirilmesine ilişkin görüşlerin alınması.</w:t>
      </w:r>
    </w:p>
    <w:p w14:paraId="3F8B79C6" w14:textId="77777777" w:rsidR="009F0758" w:rsidRPr="00BB1178" w:rsidRDefault="009F0758" w:rsidP="009F0758">
      <w:pPr>
        <w:pStyle w:val="ListeParagraf"/>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pacing w:val="-2"/>
          <w:sz w:val="24"/>
          <w:szCs w:val="24"/>
          <w:lang w:eastAsia="tr-TR"/>
        </w:rPr>
      </w:pPr>
      <w:r w:rsidRPr="00BB1178">
        <w:rPr>
          <w:rFonts w:ascii="Times New Roman" w:eastAsia="Times New Roman" w:hAnsi="Times New Roman" w:cs="Times New Roman"/>
          <w:color w:val="212529"/>
          <w:spacing w:val="-2"/>
          <w:sz w:val="24"/>
          <w:szCs w:val="24"/>
          <w:lang w:eastAsia="tr-TR"/>
        </w:rPr>
        <w:t>İletişim Fakültesi risk yönetimi eylem planının oluşturulmasına yönelik görüşlerin alınması ve değerlendirmelerin yapılması.</w:t>
      </w:r>
    </w:p>
    <w:p w14:paraId="64CB7A64" w14:textId="77777777" w:rsidR="009F0758" w:rsidRPr="00BB1178" w:rsidRDefault="009F0758" w:rsidP="009F0758">
      <w:pPr>
        <w:rPr>
          <w:rFonts w:ascii="Times New Roman" w:hAnsi="Times New Roman" w:cs="Times New Roman"/>
        </w:rPr>
      </w:pPr>
    </w:p>
    <w:p w14:paraId="37FDB503" w14:textId="513AF6EE" w:rsidR="00D55C7F" w:rsidRPr="00D55C7F" w:rsidRDefault="00D55C7F" w:rsidP="00D55C7F">
      <w:pPr>
        <w:spacing w:after="12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D55C7F">
        <w:rPr>
          <w:rFonts w:ascii="Times New Roman" w:hAnsi="Times New Roman" w:cs="Times New Roman"/>
          <w:sz w:val="24"/>
          <w:szCs w:val="24"/>
        </w:rPr>
        <w:t>Fakültemiz Dekan Yardımcısı Doç. Dr. Simge Deniz DEMİREL’ in açılış konuşmasıyla başlayan toplantıda, Fakültemizdeki mevcut bölümler hakkında Bölüm Başkanları bilgilendirme yapmış olup;</w:t>
      </w:r>
    </w:p>
    <w:p w14:paraId="34DCBAC5" w14:textId="34AC385B" w:rsidR="00D55C7F" w:rsidRPr="00D55C7F" w:rsidRDefault="00D55C7F" w:rsidP="00D55C7F">
      <w:pPr>
        <w:spacing w:after="120" w:line="360" w:lineRule="auto"/>
        <w:ind w:firstLine="708"/>
        <w:jc w:val="both"/>
        <w:rPr>
          <w:rFonts w:ascii="Times New Roman" w:hAnsi="Times New Roman" w:cs="Times New Roman"/>
          <w:sz w:val="24"/>
          <w:szCs w:val="24"/>
        </w:rPr>
      </w:pPr>
      <w:r w:rsidRPr="00D55C7F">
        <w:rPr>
          <w:rFonts w:ascii="Times New Roman" w:hAnsi="Times New Roman" w:cs="Times New Roman"/>
          <w:sz w:val="24"/>
          <w:szCs w:val="24"/>
        </w:rPr>
        <w:t xml:space="preserve">Önceki yıllarda staj yapan öğrencilerimizin karşılaştıkları eksiklikler ile sektörün tespit ettiği ihtiyaçlar değerlendirilmiş; bu eksikliklerin giderilmesine yönelik atılabilecek adımlar görüşülmüştür. Öğrencilerin derslerde edindikleri teorik bilgilerin uygulamaya daha hızlı ve etkin biçimde aktarılabilmesi amacıyla olası iş birlikleri ele alınmış, paydaşlarla gerçekleştirilebilecek ortak projelerin önemi vurgulanmıştır. Bu doğrultuda, sektör ile öğrenciler arasında deneyim paylaşımını teşvik etmek amacıyla Sektör–Öğrenci Buluşmalarına yönelik öneriler değerlendirilmiştir. Sektörden Fakültemize davet edilecek konuklar aracılığıyla öğrencilere </w:t>
      </w:r>
      <w:proofErr w:type="spellStart"/>
      <w:r w:rsidRPr="00D55C7F">
        <w:rPr>
          <w:rFonts w:ascii="Times New Roman" w:hAnsi="Times New Roman" w:cs="Times New Roman"/>
          <w:sz w:val="24"/>
          <w:szCs w:val="24"/>
        </w:rPr>
        <w:t>mentörlük</w:t>
      </w:r>
      <w:proofErr w:type="spellEnd"/>
      <w:r w:rsidRPr="00D55C7F">
        <w:rPr>
          <w:rFonts w:ascii="Times New Roman" w:hAnsi="Times New Roman" w:cs="Times New Roman"/>
          <w:sz w:val="24"/>
          <w:szCs w:val="24"/>
        </w:rPr>
        <w:t xml:space="preserve"> yapılabileceği, ayda bir kez gerçekleştirilebilecek bu etkinliklerin öğrenciler üzerindeki olumlu etkileri üzerinde durulmuştur. Söz konusu etkinliklerin, sektör ile öğrenci arasındaki etkileşimi güçlendireceği ve öğrencilerin uygulama sahasına yönelik </w:t>
      </w:r>
      <w:proofErr w:type="gramStart"/>
      <w:r w:rsidRPr="00D55C7F">
        <w:rPr>
          <w:rFonts w:ascii="Times New Roman" w:hAnsi="Times New Roman" w:cs="Times New Roman"/>
          <w:sz w:val="24"/>
          <w:szCs w:val="24"/>
        </w:rPr>
        <w:t>vizyon</w:t>
      </w:r>
      <w:proofErr w:type="gramEnd"/>
      <w:r w:rsidRPr="00D55C7F">
        <w:rPr>
          <w:rFonts w:ascii="Times New Roman" w:hAnsi="Times New Roman" w:cs="Times New Roman"/>
          <w:sz w:val="24"/>
          <w:szCs w:val="24"/>
        </w:rPr>
        <w:t xml:space="preserve"> kazanmalarına katkı sağlayacağı ifade edilmiştir. Ayrıca, bu etkinliğin sektörle öğrenci arasındaki ilişkiyi geliştireceği uygulama sahasında öğrencilere </w:t>
      </w:r>
      <w:proofErr w:type="gramStart"/>
      <w:r w:rsidRPr="00D55C7F">
        <w:rPr>
          <w:rFonts w:ascii="Times New Roman" w:hAnsi="Times New Roman" w:cs="Times New Roman"/>
          <w:sz w:val="24"/>
          <w:szCs w:val="24"/>
        </w:rPr>
        <w:t>vizyon</w:t>
      </w:r>
      <w:proofErr w:type="gramEnd"/>
      <w:r w:rsidRPr="00D55C7F">
        <w:rPr>
          <w:rFonts w:ascii="Times New Roman" w:hAnsi="Times New Roman" w:cs="Times New Roman"/>
          <w:sz w:val="24"/>
          <w:szCs w:val="24"/>
        </w:rPr>
        <w:t xml:space="preserve"> kazandıracağı düşünülmektedir. Sektörle kurumlar arasında imzalanacak protokollerin işbirliğini güçlendireceği, öğrencilerin uygulamaları yerinde deneyimlemelerinin protokollerle desteklenmesinin faydalı olacağı ve zamansal açıdan fark yaratacağı ifade edildi. Toplantıya katılan Danışma Kurulu üyelerine, sektörü daha doğru analiz edebilmek adına müfredata hangi </w:t>
      </w:r>
      <w:r w:rsidRPr="00D55C7F">
        <w:rPr>
          <w:rFonts w:ascii="Times New Roman" w:hAnsi="Times New Roman" w:cs="Times New Roman"/>
          <w:sz w:val="24"/>
          <w:szCs w:val="24"/>
        </w:rPr>
        <w:lastRenderedPageBreak/>
        <w:t>derslerle katkı sağlanabileceği sorusu yöneltilmiş; tüm bölümler için ders planlarının yeterliliği ve ders önerilerine ilişkin geri bildirimler alınmıştır.</w:t>
      </w:r>
    </w:p>
    <w:p w14:paraId="12F5D490" w14:textId="389F1E11" w:rsidR="00D55C7F" w:rsidRPr="00D55C7F" w:rsidRDefault="00D55C7F" w:rsidP="00D55C7F">
      <w:pPr>
        <w:pStyle w:val="NormalWeb"/>
        <w:numPr>
          <w:ilvl w:val="0"/>
          <w:numId w:val="21"/>
        </w:numPr>
        <w:jc w:val="both"/>
      </w:pPr>
      <w:r w:rsidRPr="00D55C7F">
        <w:rPr>
          <w:rStyle w:val="Gl"/>
          <w:rFonts w:eastAsiaTheme="majorEastAsia"/>
        </w:rPr>
        <w:t>Yapay zekâ kullanımı</w:t>
      </w:r>
      <w:r w:rsidRPr="00D55C7F">
        <w:t xml:space="preserve">na yönelik derslerin, tüm bölümlerin yararlanabileceği şekilde </w:t>
      </w:r>
      <w:r w:rsidRPr="00D55C7F">
        <w:rPr>
          <w:rStyle w:val="Gl"/>
          <w:rFonts w:eastAsiaTheme="majorEastAsia"/>
        </w:rPr>
        <w:t>ortak havuz dersleri</w:t>
      </w:r>
      <w:r w:rsidRPr="00D55C7F">
        <w:rPr>
          <w:b/>
        </w:rPr>
        <w:t xml:space="preserve"> </w:t>
      </w:r>
      <w:r w:rsidRPr="00D55C7F">
        <w:t>kapsamında açılması önerilmiştir.</w:t>
      </w:r>
    </w:p>
    <w:p w14:paraId="7BE8463D" w14:textId="34DFBEF7" w:rsidR="00D55C7F" w:rsidRPr="00D55C7F" w:rsidRDefault="00D55C7F" w:rsidP="00D55C7F">
      <w:pPr>
        <w:pStyle w:val="NormalWeb"/>
        <w:numPr>
          <w:ilvl w:val="0"/>
          <w:numId w:val="21"/>
        </w:numPr>
        <w:jc w:val="both"/>
      </w:pPr>
      <w:r w:rsidRPr="00D55C7F">
        <w:rPr>
          <w:rStyle w:val="Gl"/>
          <w:rFonts w:eastAsiaTheme="majorEastAsia"/>
        </w:rPr>
        <w:t>Gazetecilik Bölümü müfredatında</w:t>
      </w:r>
      <w:r w:rsidRPr="00D55C7F">
        <w:t>,</w:t>
      </w:r>
    </w:p>
    <w:p w14:paraId="18DB9FA1" w14:textId="77777777" w:rsidR="00D55C7F" w:rsidRPr="00D55C7F" w:rsidRDefault="00D55C7F" w:rsidP="00D55C7F">
      <w:pPr>
        <w:pStyle w:val="NormalWeb"/>
        <w:numPr>
          <w:ilvl w:val="0"/>
          <w:numId w:val="17"/>
        </w:numPr>
        <w:jc w:val="both"/>
      </w:pPr>
      <w:r w:rsidRPr="00D55C7F">
        <w:rPr>
          <w:rStyle w:val="Vurgu"/>
          <w:rFonts w:eastAsiaTheme="majorEastAsia"/>
        </w:rPr>
        <w:t>Veri Gazeteciliği</w:t>
      </w:r>
      <w:r w:rsidRPr="00D55C7F">
        <w:t>,</w:t>
      </w:r>
    </w:p>
    <w:p w14:paraId="3C879491" w14:textId="77777777" w:rsidR="00D55C7F" w:rsidRPr="00D55C7F" w:rsidRDefault="00D55C7F" w:rsidP="00D55C7F">
      <w:pPr>
        <w:pStyle w:val="NormalWeb"/>
        <w:numPr>
          <w:ilvl w:val="0"/>
          <w:numId w:val="17"/>
        </w:numPr>
        <w:jc w:val="both"/>
      </w:pPr>
      <w:r w:rsidRPr="00D55C7F">
        <w:rPr>
          <w:rStyle w:val="Gl"/>
          <w:rFonts w:eastAsiaTheme="majorEastAsia"/>
          <w:i/>
        </w:rPr>
        <w:t>Veri ve Robot Haberciliği</w:t>
      </w:r>
      <w:r w:rsidRPr="00D55C7F">
        <w:t xml:space="preserve"> derslerinin hâlihazırda müfredatta </w:t>
      </w:r>
      <w:r w:rsidRPr="00D55C7F">
        <w:rPr>
          <w:rStyle w:val="Gl"/>
          <w:rFonts w:eastAsiaTheme="majorEastAsia"/>
        </w:rPr>
        <w:t>seçmeli ders</w:t>
      </w:r>
      <w:r w:rsidRPr="00D55C7F">
        <w:t xml:space="preserve"> olarak yer aldığı, ancak dijitalleşen medya ekosisteminin gereklilikleri doğrultusunda bu derslerin </w:t>
      </w:r>
      <w:r w:rsidRPr="00D55C7F">
        <w:rPr>
          <w:rStyle w:val="Gl"/>
          <w:rFonts w:eastAsiaTheme="majorEastAsia"/>
        </w:rPr>
        <w:t>zorunlu ders</w:t>
      </w:r>
      <w:r w:rsidRPr="00D55C7F">
        <w:t xml:space="preserve"> statüsüne alınmasının gerekli olduğu vurgulanmıştır.</w:t>
      </w:r>
    </w:p>
    <w:p w14:paraId="385B578B" w14:textId="20EEE49E" w:rsidR="00D55C7F" w:rsidRPr="00D55C7F" w:rsidRDefault="00D55C7F" w:rsidP="00D55C7F">
      <w:pPr>
        <w:pStyle w:val="NormalWeb"/>
        <w:numPr>
          <w:ilvl w:val="0"/>
          <w:numId w:val="22"/>
        </w:numPr>
        <w:jc w:val="both"/>
      </w:pPr>
      <w:r w:rsidRPr="00D55C7F">
        <w:rPr>
          <w:rStyle w:val="Gl"/>
          <w:rFonts w:eastAsiaTheme="majorEastAsia"/>
        </w:rPr>
        <w:t>Yapay zekâ temelli uygulamaların</w:t>
      </w:r>
      <w:r w:rsidRPr="00D55C7F">
        <w:t xml:space="preserve"> reklamcılık ve iletişim sektöründe </w:t>
      </w:r>
      <w:r w:rsidRPr="00D55C7F">
        <w:rPr>
          <w:rStyle w:val="Gl"/>
          <w:rFonts w:eastAsiaTheme="majorEastAsia"/>
        </w:rPr>
        <w:t>sürdürülebilir bir üretim aracı</w:t>
      </w:r>
      <w:r w:rsidRPr="00D55C7F">
        <w:rPr>
          <w:b/>
        </w:rPr>
        <w:t xml:space="preserve"> </w:t>
      </w:r>
      <w:r w:rsidRPr="00D55C7F">
        <w:t xml:space="preserve">hâline geldiği ifade edilerek, bu doğrultuda </w:t>
      </w:r>
      <w:r w:rsidRPr="00D55C7F">
        <w:rPr>
          <w:rStyle w:val="Gl"/>
          <w:rFonts w:eastAsiaTheme="majorEastAsia"/>
        </w:rPr>
        <w:t>müfredat güncellemesinin Gazetecilik Bölümü için elzem olduğu</w:t>
      </w:r>
      <w:r w:rsidRPr="00D55C7F">
        <w:t xml:space="preserve"> belirtilmiştir.</w:t>
      </w:r>
    </w:p>
    <w:p w14:paraId="233A334F" w14:textId="77777777" w:rsidR="00D55C7F" w:rsidRPr="00D55C7F" w:rsidRDefault="00D55C7F" w:rsidP="00D55C7F">
      <w:pPr>
        <w:pStyle w:val="NormalWeb"/>
        <w:numPr>
          <w:ilvl w:val="0"/>
          <w:numId w:val="18"/>
        </w:numPr>
        <w:jc w:val="both"/>
      </w:pPr>
      <w:r w:rsidRPr="00D55C7F">
        <w:rPr>
          <w:rStyle w:val="Gl"/>
          <w:rFonts w:eastAsiaTheme="majorEastAsia"/>
        </w:rPr>
        <w:t>Gazetecilik Bölümünde “Kurgu Eğitimi</w:t>
      </w:r>
      <w:r w:rsidRPr="00D55C7F">
        <w:rPr>
          <w:b/>
        </w:rPr>
        <w:t>nin</w:t>
      </w:r>
      <w:r w:rsidRPr="00D55C7F">
        <w:t xml:space="preserve">” mutlaka yer alması gerektiği vurgulanmış; gazeteciliğin yazılı basından görsel ve dijital mecralara </w:t>
      </w:r>
      <w:proofErr w:type="spellStart"/>
      <w:r w:rsidRPr="00D55C7F">
        <w:t>evrilmesiyle</w:t>
      </w:r>
      <w:proofErr w:type="spellEnd"/>
      <w:r w:rsidRPr="00D55C7F">
        <w:t xml:space="preserve"> birlikte </w:t>
      </w:r>
      <w:r w:rsidRPr="00D55C7F">
        <w:rPr>
          <w:rStyle w:val="Gl"/>
          <w:rFonts w:eastAsiaTheme="majorEastAsia"/>
        </w:rPr>
        <w:t>kurgu bilgisinin temel bir yeterlilik hâline geldiği</w:t>
      </w:r>
      <w:r w:rsidRPr="00D55C7F">
        <w:t xml:space="preserve"> belirtilmiştir.</w:t>
      </w:r>
    </w:p>
    <w:p w14:paraId="0ACF1FF0" w14:textId="77777777" w:rsidR="00D55C7F" w:rsidRPr="00D55C7F" w:rsidRDefault="00D55C7F" w:rsidP="00D55C7F">
      <w:pPr>
        <w:pStyle w:val="NormalWeb"/>
        <w:numPr>
          <w:ilvl w:val="0"/>
          <w:numId w:val="18"/>
        </w:numPr>
        <w:jc w:val="both"/>
      </w:pPr>
      <w:r w:rsidRPr="00D55C7F">
        <w:rPr>
          <w:rStyle w:val="Gl"/>
          <w:rFonts w:eastAsiaTheme="majorEastAsia"/>
        </w:rPr>
        <w:t>Kurgu eğitimi olmadan mezun olan Gazetecilik bölümü öğrencilerinin</w:t>
      </w:r>
      <w:r w:rsidRPr="00D55C7F">
        <w:t>, sektörde ciddi zorluklarla karşılaşabileceği ifade edilmiştir.</w:t>
      </w:r>
    </w:p>
    <w:p w14:paraId="4709038B" w14:textId="659FC52C" w:rsidR="00D55C7F" w:rsidRPr="00D55C7F" w:rsidRDefault="00D55C7F" w:rsidP="00D55C7F">
      <w:pPr>
        <w:pStyle w:val="NormalWeb"/>
        <w:numPr>
          <w:ilvl w:val="0"/>
          <w:numId w:val="18"/>
        </w:numPr>
        <w:jc w:val="both"/>
      </w:pPr>
      <w:r w:rsidRPr="00D55C7F">
        <w:t xml:space="preserve">Öğrencilerin sektörde </w:t>
      </w:r>
      <w:r w:rsidRPr="00D55C7F">
        <w:rPr>
          <w:rStyle w:val="Gl"/>
          <w:rFonts w:eastAsiaTheme="majorEastAsia"/>
        </w:rPr>
        <w:t>usul, temsil ve mesleki duruş eksikliklerinin</w:t>
      </w:r>
      <w:r w:rsidRPr="00D55C7F">
        <w:t xml:space="preserve"> belirgin şekilde hissedildiği; bu nedenle “</w:t>
      </w:r>
      <w:r w:rsidRPr="00D55C7F">
        <w:rPr>
          <w:rStyle w:val="Gl"/>
          <w:rFonts w:eastAsiaTheme="majorEastAsia"/>
        </w:rPr>
        <w:t>Nezaket ve Protokol Kuralları”</w:t>
      </w:r>
      <w:r w:rsidRPr="00D55C7F">
        <w:t xml:space="preserve"> dersinin seçmeli değil, </w:t>
      </w:r>
      <w:r w:rsidRPr="00D55C7F">
        <w:rPr>
          <w:rStyle w:val="Gl"/>
          <w:rFonts w:eastAsiaTheme="majorEastAsia"/>
        </w:rPr>
        <w:t>zorunlu ders</w:t>
      </w:r>
      <w:r w:rsidRPr="00D55C7F">
        <w:t xml:space="preserve"> olarak ele alınmasının gündeme alındığı ifade edilmiştir.</w:t>
      </w:r>
    </w:p>
    <w:p w14:paraId="3FD9BEAB" w14:textId="70A0E168" w:rsidR="00D55C7F" w:rsidRPr="00D55C7F" w:rsidRDefault="00D55C7F" w:rsidP="00D55C7F">
      <w:pPr>
        <w:pStyle w:val="NormalWeb"/>
        <w:numPr>
          <w:ilvl w:val="0"/>
          <w:numId w:val="18"/>
        </w:numPr>
        <w:jc w:val="both"/>
      </w:pPr>
      <w:r w:rsidRPr="00D55C7F">
        <w:rPr>
          <w:rStyle w:val="Gl"/>
          <w:rFonts w:eastAsiaTheme="majorEastAsia"/>
        </w:rPr>
        <w:t>Nezaket ve Protokol Kuralları</w:t>
      </w:r>
      <w:r w:rsidRPr="00D55C7F">
        <w:rPr>
          <w:b/>
        </w:rPr>
        <w:t xml:space="preserve"> </w:t>
      </w:r>
      <w:r w:rsidRPr="00D55C7F">
        <w:t xml:space="preserve">dersinin, tüm bölümlere hitap edecek şekilde </w:t>
      </w:r>
      <w:r w:rsidRPr="00D55C7F">
        <w:rPr>
          <w:rStyle w:val="Gl"/>
          <w:rFonts w:eastAsiaTheme="majorEastAsia"/>
        </w:rPr>
        <w:t>ortak havuz dersleri</w:t>
      </w:r>
      <w:r w:rsidRPr="00D55C7F">
        <w:t xml:space="preserve"> arasına alınması önerilmiştir.</w:t>
      </w:r>
    </w:p>
    <w:p w14:paraId="1F74716D" w14:textId="7D2DFBA1" w:rsidR="00D55C7F" w:rsidRPr="00D55C7F" w:rsidRDefault="00D55C7F" w:rsidP="00D55C7F">
      <w:pPr>
        <w:pStyle w:val="NormalWeb"/>
        <w:numPr>
          <w:ilvl w:val="0"/>
          <w:numId w:val="18"/>
        </w:numPr>
        <w:jc w:val="both"/>
      </w:pPr>
      <w:r w:rsidRPr="00D55C7F">
        <w:t xml:space="preserve">Günümüzde </w:t>
      </w:r>
      <w:r w:rsidRPr="00D55C7F">
        <w:rPr>
          <w:rStyle w:val="Gl"/>
          <w:rFonts w:eastAsiaTheme="majorEastAsia"/>
        </w:rPr>
        <w:t>çabuk tüketilebilir içeriklerin</w:t>
      </w:r>
      <w:r w:rsidRPr="00D55C7F">
        <w:t xml:space="preserve"> öne çıkması nedeniyle, öğrencilere bu alanda </w:t>
      </w:r>
      <w:r w:rsidRPr="00D55C7F">
        <w:rPr>
          <w:rStyle w:val="Gl"/>
          <w:rFonts w:eastAsiaTheme="majorEastAsia"/>
        </w:rPr>
        <w:t>uygulamaya dayalı doğru içerik üretimi deneyimi kazandıracak derslerin</w:t>
      </w:r>
      <w:r w:rsidRPr="00D55C7F">
        <w:t xml:space="preserve"> müfredata eklenmesinin önemine dikkat çekilmiştir.</w:t>
      </w:r>
    </w:p>
    <w:p w14:paraId="51302B21" w14:textId="48C5E02E" w:rsidR="00D55C7F" w:rsidRPr="00D55C7F" w:rsidRDefault="00D55C7F" w:rsidP="00D55C7F">
      <w:pPr>
        <w:pStyle w:val="NormalWeb"/>
        <w:numPr>
          <w:ilvl w:val="0"/>
          <w:numId w:val="18"/>
        </w:numPr>
        <w:jc w:val="both"/>
      </w:pPr>
      <w:r w:rsidRPr="00D55C7F">
        <w:rPr>
          <w:rStyle w:val="Gl"/>
          <w:rFonts w:eastAsiaTheme="majorEastAsia"/>
        </w:rPr>
        <w:t>Radyo, Televizyon ve Sinema Bölümü</w:t>
      </w:r>
      <w:r w:rsidRPr="00D55C7F">
        <w:t xml:space="preserve">, seçmeli derslerini geliştirme amacıyla </w:t>
      </w:r>
      <w:r w:rsidRPr="00D55C7F">
        <w:rPr>
          <w:rStyle w:val="Gl"/>
          <w:rFonts w:eastAsiaTheme="majorEastAsia"/>
        </w:rPr>
        <w:t>danışma kurulu üyelerinin görüşlerine başvurmak istediğini</w:t>
      </w:r>
      <w:r w:rsidRPr="00D55C7F">
        <w:t xml:space="preserve"> belirtmiştir.</w:t>
      </w:r>
    </w:p>
    <w:p w14:paraId="3FF3643C" w14:textId="48675FC6" w:rsidR="00D55C7F" w:rsidRPr="00D55C7F" w:rsidRDefault="00D55C7F" w:rsidP="00D55C7F">
      <w:pPr>
        <w:pStyle w:val="NormalWeb"/>
        <w:numPr>
          <w:ilvl w:val="0"/>
          <w:numId w:val="18"/>
        </w:numPr>
        <w:jc w:val="both"/>
      </w:pPr>
      <w:r w:rsidRPr="00D55C7F">
        <w:t xml:space="preserve">Bölümler arasında </w:t>
      </w:r>
      <w:r w:rsidRPr="00D55C7F">
        <w:rPr>
          <w:rStyle w:val="Gl"/>
          <w:rFonts w:eastAsiaTheme="majorEastAsia"/>
        </w:rPr>
        <w:t>beklenti ve ihtiyaç farklılıkları</w:t>
      </w:r>
      <w:r w:rsidRPr="00D55C7F">
        <w:t xml:space="preserve"> bulunduğu; bu nedenle ortak dersler kadar </w:t>
      </w:r>
      <w:r w:rsidRPr="00D55C7F">
        <w:rPr>
          <w:rStyle w:val="Gl"/>
          <w:rFonts w:eastAsiaTheme="majorEastAsia"/>
        </w:rPr>
        <w:t xml:space="preserve">bölüm </w:t>
      </w:r>
      <w:proofErr w:type="gramStart"/>
      <w:r w:rsidRPr="00D55C7F">
        <w:rPr>
          <w:rStyle w:val="Gl"/>
          <w:rFonts w:eastAsiaTheme="majorEastAsia"/>
        </w:rPr>
        <w:t>bazlı</w:t>
      </w:r>
      <w:proofErr w:type="gramEnd"/>
      <w:r w:rsidRPr="00D55C7F">
        <w:rPr>
          <w:rStyle w:val="Gl"/>
          <w:rFonts w:eastAsiaTheme="majorEastAsia"/>
        </w:rPr>
        <w:t xml:space="preserve"> çözümlerin</w:t>
      </w:r>
      <w:r w:rsidRPr="00D55C7F">
        <w:t xml:space="preserve"> de ele alınması gerektiği ifade edilmiştir.</w:t>
      </w:r>
    </w:p>
    <w:p w14:paraId="77592411" w14:textId="700ACEE1" w:rsidR="00D55C7F" w:rsidRPr="00D55C7F" w:rsidRDefault="00D55C7F" w:rsidP="00D55C7F">
      <w:pPr>
        <w:pStyle w:val="NormalWeb"/>
        <w:numPr>
          <w:ilvl w:val="0"/>
          <w:numId w:val="18"/>
        </w:numPr>
        <w:jc w:val="both"/>
      </w:pPr>
      <w:r w:rsidRPr="00D55C7F">
        <w:t xml:space="preserve">Kurgu altyapısına ilişkin olarak, </w:t>
      </w:r>
      <w:r w:rsidRPr="00D55C7F">
        <w:rPr>
          <w:rStyle w:val="Gl"/>
          <w:rFonts w:eastAsiaTheme="majorEastAsia"/>
        </w:rPr>
        <w:t xml:space="preserve">yüksek maliyetli profesyonel </w:t>
      </w:r>
      <w:proofErr w:type="gramStart"/>
      <w:r w:rsidRPr="00D55C7F">
        <w:rPr>
          <w:rStyle w:val="Gl"/>
          <w:rFonts w:eastAsiaTheme="majorEastAsia"/>
        </w:rPr>
        <w:t>ekipmanlar</w:t>
      </w:r>
      <w:proofErr w:type="gramEnd"/>
      <w:r w:rsidRPr="00D55C7F">
        <w:rPr>
          <w:rStyle w:val="Gl"/>
          <w:rFonts w:eastAsiaTheme="majorEastAsia"/>
        </w:rPr>
        <w:t xml:space="preserve"> yerine</w:t>
      </w:r>
      <w:r w:rsidRPr="00D55C7F">
        <w:rPr>
          <w:b/>
        </w:rPr>
        <w:t>,</w:t>
      </w:r>
    </w:p>
    <w:p w14:paraId="31C98AF3" w14:textId="77777777" w:rsidR="00D55C7F" w:rsidRPr="00D55C7F" w:rsidRDefault="00D55C7F" w:rsidP="00D55C7F">
      <w:pPr>
        <w:pStyle w:val="NormalWeb"/>
        <w:numPr>
          <w:ilvl w:val="0"/>
          <w:numId w:val="19"/>
        </w:numPr>
        <w:jc w:val="both"/>
      </w:pPr>
      <w:proofErr w:type="gramStart"/>
      <w:r w:rsidRPr="00D55C7F">
        <w:t>cep</w:t>
      </w:r>
      <w:proofErr w:type="gramEnd"/>
      <w:r w:rsidRPr="00D55C7F">
        <w:t xml:space="preserve"> telefonu ile çekim,</w:t>
      </w:r>
    </w:p>
    <w:p w14:paraId="1BE45FFA" w14:textId="77777777" w:rsidR="00D55C7F" w:rsidRPr="00D55C7F" w:rsidRDefault="00D55C7F" w:rsidP="00D55C7F">
      <w:pPr>
        <w:pStyle w:val="NormalWeb"/>
        <w:numPr>
          <w:ilvl w:val="0"/>
          <w:numId w:val="19"/>
        </w:numPr>
      </w:pPr>
      <w:proofErr w:type="gramStart"/>
      <w:r w:rsidRPr="00D55C7F">
        <w:t>basit</w:t>
      </w:r>
      <w:proofErr w:type="gramEnd"/>
      <w:r w:rsidRPr="00D55C7F">
        <w:t xml:space="preserve"> ve erişilebilir araçlarla kurgu yapma,</w:t>
      </w:r>
      <w:r w:rsidRPr="00D55C7F">
        <w:br/>
        <w:t xml:space="preserve">becerilerinin öğrencilere kazandırılmasının </w:t>
      </w:r>
      <w:r w:rsidRPr="00D55C7F">
        <w:rPr>
          <w:rStyle w:val="Gl"/>
          <w:rFonts w:eastAsiaTheme="majorEastAsia"/>
        </w:rPr>
        <w:t>pratik ve sürdürülebilir bir yaklaşım</w:t>
      </w:r>
      <w:r w:rsidRPr="00D55C7F">
        <w:t xml:space="preserve"> olacağı dile getirilmiştir.</w:t>
      </w:r>
    </w:p>
    <w:p w14:paraId="2342A92D" w14:textId="13BF95E8" w:rsidR="00D55C7F" w:rsidRPr="00D55C7F" w:rsidRDefault="00D55C7F" w:rsidP="00D55C7F">
      <w:pPr>
        <w:pStyle w:val="NormalWeb"/>
        <w:numPr>
          <w:ilvl w:val="0"/>
          <w:numId w:val="23"/>
        </w:numPr>
        <w:jc w:val="both"/>
      </w:pPr>
      <w:r w:rsidRPr="00D55C7F">
        <w:rPr>
          <w:rStyle w:val="Gl"/>
          <w:rFonts w:eastAsiaTheme="majorEastAsia"/>
        </w:rPr>
        <w:t>Yapay zekâ ve etik</w:t>
      </w:r>
      <w:r w:rsidRPr="00D55C7F">
        <w:t xml:space="preserve"> konularının, ders içeriklerinde </w:t>
      </w:r>
      <w:r w:rsidRPr="00D55C7F">
        <w:rPr>
          <w:rStyle w:val="Gl"/>
          <w:rFonts w:eastAsiaTheme="majorEastAsia"/>
        </w:rPr>
        <w:t>tartışmalı ve eleştirel bir perspektifle</w:t>
      </w:r>
      <w:r w:rsidRPr="00D55C7F">
        <w:t xml:space="preserve"> ele alınabileceği önerilmiştir.</w:t>
      </w:r>
    </w:p>
    <w:p w14:paraId="4F60F565" w14:textId="7B58CECC" w:rsidR="00D55C7F" w:rsidRPr="00D55C7F" w:rsidRDefault="00D55C7F" w:rsidP="00D55C7F">
      <w:pPr>
        <w:pStyle w:val="NormalWeb"/>
        <w:numPr>
          <w:ilvl w:val="0"/>
          <w:numId w:val="23"/>
        </w:numPr>
        <w:jc w:val="both"/>
      </w:pPr>
      <w:r w:rsidRPr="00D55C7F">
        <w:t xml:space="preserve">Danışma kurullarında, </w:t>
      </w:r>
      <w:r w:rsidRPr="00D55C7F">
        <w:rPr>
          <w:rStyle w:val="Gl"/>
          <w:rFonts w:eastAsiaTheme="majorEastAsia"/>
        </w:rPr>
        <w:t xml:space="preserve">basın sektörünü temsil eden, yetkin ve </w:t>
      </w:r>
      <w:proofErr w:type="gramStart"/>
      <w:r w:rsidRPr="00D55C7F">
        <w:rPr>
          <w:rStyle w:val="Gl"/>
          <w:rFonts w:eastAsiaTheme="majorEastAsia"/>
        </w:rPr>
        <w:t>vizyon</w:t>
      </w:r>
      <w:proofErr w:type="gramEnd"/>
      <w:r w:rsidRPr="00D55C7F">
        <w:rPr>
          <w:rStyle w:val="Gl"/>
          <w:rFonts w:eastAsiaTheme="majorEastAsia"/>
        </w:rPr>
        <w:t xml:space="preserve"> sahibi isimlerin</w:t>
      </w:r>
      <w:r w:rsidRPr="00D55C7F">
        <w:t xml:space="preserve"> yer almasının faydalı olacağı; bu kapsamda </w:t>
      </w:r>
      <w:r w:rsidRPr="00D55C7F">
        <w:rPr>
          <w:rStyle w:val="Gl"/>
          <w:rFonts w:eastAsiaTheme="majorEastAsia"/>
        </w:rPr>
        <w:t>isim önerilerinin iletileceği</w:t>
      </w:r>
      <w:r w:rsidRPr="00D55C7F">
        <w:t xml:space="preserve"> konusunda mutabakata varılmıştır.</w:t>
      </w:r>
    </w:p>
    <w:p w14:paraId="55B2F98F" w14:textId="77746CB1" w:rsidR="00D55C7F" w:rsidRPr="00D55C7F" w:rsidRDefault="00D55C7F" w:rsidP="00D55C7F">
      <w:pPr>
        <w:pStyle w:val="NormalWeb"/>
        <w:numPr>
          <w:ilvl w:val="0"/>
          <w:numId w:val="23"/>
        </w:numPr>
        <w:jc w:val="both"/>
      </w:pPr>
      <w:r w:rsidRPr="00D55C7F">
        <w:t xml:space="preserve">Bu süreci daha etkin yönetmek amacıyla, </w:t>
      </w:r>
      <w:r w:rsidRPr="00D55C7F">
        <w:rPr>
          <w:rStyle w:val="Gl"/>
          <w:rFonts w:eastAsiaTheme="majorEastAsia"/>
        </w:rPr>
        <w:t>Danışma Kurulu bünyesinde alt çalışma grupları oluşturulması</w:t>
      </w:r>
      <w:r w:rsidRPr="00D55C7F">
        <w:t xml:space="preserve"> önerilmiştir.</w:t>
      </w:r>
    </w:p>
    <w:p w14:paraId="4E1CC2EF" w14:textId="3B46FA6B" w:rsidR="00D55C7F" w:rsidRPr="00D55C7F" w:rsidRDefault="00D55C7F" w:rsidP="00D55C7F">
      <w:pPr>
        <w:pStyle w:val="NormalWeb"/>
        <w:numPr>
          <w:ilvl w:val="0"/>
          <w:numId w:val="23"/>
        </w:numPr>
        <w:jc w:val="both"/>
      </w:pPr>
      <w:r w:rsidRPr="00D55C7F">
        <w:t>Önerilen alt çalışma grupları şu şekilde ifade edilmiştir:</w:t>
      </w:r>
    </w:p>
    <w:p w14:paraId="406F1873" w14:textId="77777777" w:rsidR="00D55C7F" w:rsidRPr="00D55C7F" w:rsidRDefault="00D55C7F" w:rsidP="00D55C7F">
      <w:pPr>
        <w:pStyle w:val="NormalWeb"/>
        <w:numPr>
          <w:ilvl w:val="0"/>
          <w:numId w:val="20"/>
        </w:numPr>
        <w:jc w:val="both"/>
      </w:pPr>
      <w:r w:rsidRPr="00D55C7F">
        <w:lastRenderedPageBreak/>
        <w:t>Müfredat Gözden Geçirme</w:t>
      </w:r>
    </w:p>
    <w:p w14:paraId="0109D484" w14:textId="77777777" w:rsidR="00D55C7F" w:rsidRPr="00D55C7F" w:rsidRDefault="00D55C7F" w:rsidP="00D55C7F">
      <w:pPr>
        <w:pStyle w:val="NormalWeb"/>
        <w:numPr>
          <w:ilvl w:val="0"/>
          <w:numId w:val="20"/>
        </w:numPr>
        <w:jc w:val="both"/>
      </w:pPr>
      <w:r w:rsidRPr="00D55C7F">
        <w:t>Sektörle Bağlantı ve Uyum Geliştirme</w:t>
      </w:r>
    </w:p>
    <w:p w14:paraId="712A6C2B" w14:textId="77777777" w:rsidR="00D55C7F" w:rsidRPr="00D55C7F" w:rsidRDefault="00D55C7F" w:rsidP="00D55C7F">
      <w:pPr>
        <w:pStyle w:val="NormalWeb"/>
        <w:numPr>
          <w:ilvl w:val="0"/>
          <w:numId w:val="20"/>
        </w:numPr>
        <w:jc w:val="both"/>
      </w:pPr>
      <w:proofErr w:type="spellStart"/>
      <w:r w:rsidRPr="00D55C7F">
        <w:t>Mentörlük</w:t>
      </w:r>
      <w:proofErr w:type="spellEnd"/>
      <w:r w:rsidRPr="00D55C7F">
        <w:t xml:space="preserve"> ve Alan Programları</w:t>
      </w:r>
    </w:p>
    <w:p w14:paraId="0384B1E0" w14:textId="77777777" w:rsidR="00D55C7F" w:rsidRPr="00D55C7F" w:rsidRDefault="00D55C7F" w:rsidP="00D55C7F">
      <w:pPr>
        <w:pStyle w:val="NormalWeb"/>
        <w:numPr>
          <w:ilvl w:val="0"/>
          <w:numId w:val="20"/>
        </w:numPr>
        <w:jc w:val="both"/>
      </w:pPr>
      <w:r w:rsidRPr="00D55C7F">
        <w:t>Teknoloji ve Dijital Uyum</w:t>
      </w:r>
    </w:p>
    <w:p w14:paraId="14A88DF5" w14:textId="40B9B4E7" w:rsidR="00D55C7F" w:rsidRPr="00D55C7F" w:rsidRDefault="00D55C7F" w:rsidP="00D55C7F">
      <w:pPr>
        <w:pStyle w:val="NormalWeb"/>
        <w:numPr>
          <w:ilvl w:val="0"/>
          <w:numId w:val="24"/>
        </w:numPr>
        <w:jc w:val="both"/>
      </w:pPr>
      <w:bookmarkStart w:id="1" w:name="_GoBack"/>
      <w:bookmarkEnd w:id="1"/>
      <w:r w:rsidRPr="00D55C7F">
        <w:t xml:space="preserve">Alt çalışma gruplarından gelen önerilerin, </w:t>
      </w:r>
      <w:r w:rsidRPr="00D55C7F">
        <w:rPr>
          <w:rStyle w:val="Gl"/>
          <w:rFonts w:eastAsiaTheme="majorEastAsia"/>
        </w:rPr>
        <w:t>nihai değerlendirme için Danışma Kuruluna sunulması</w:t>
      </w:r>
      <w:r w:rsidRPr="00D55C7F">
        <w:t xml:space="preserve"> ve böylece karar alma sürecinin </w:t>
      </w:r>
      <w:r w:rsidRPr="00D55C7F">
        <w:rPr>
          <w:rStyle w:val="Gl"/>
          <w:rFonts w:eastAsiaTheme="majorEastAsia"/>
        </w:rPr>
        <w:t>daha sistematik ve verimli yürütülmesi</w:t>
      </w:r>
      <w:r w:rsidRPr="00D55C7F">
        <w:t xml:space="preserve"> gerektiği ifade edilmiştir.</w:t>
      </w:r>
    </w:p>
    <w:p w14:paraId="215AB098" w14:textId="77777777" w:rsidR="00D55C7F" w:rsidRPr="00D55C7F" w:rsidRDefault="00D55C7F" w:rsidP="00D55C7F">
      <w:pPr>
        <w:spacing w:line="360" w:lineRule="auto"/>
        <w:rPr>
          <w:rFonts w:ascii="Times New Roman" w:eastAsia="Calibri" w:hAnsi="Times New Roman" w:cs="Times New Roman"/>
          <w:b/>
          <w:sz w:val="24"/>
          <w:szCs w:val="24"/>
        </w:rPr>
      </w:pPr>
    </w:p>
    <w:p w14:paraId="3C6D1221" w14:textId="2C02AE5A" w:rsidR="00DA5CCE" w:rsidRPr="00D55C7F" w:rsidRDefault="00DA5CCE" w:rsidP="009F0758">
      <w:pPr>
        <w:jc w:val="center"/>
        <w:rPr>
          <w:rFonts w:ascii="Times New Roman" w:hAnsi="Times New Roman" w:cs="Times New Roman"/>
          <w:b/>
        </w:rPr>
      </w:pPr>
    </w:p>
    <w:sectPr w:rsidR="00DA5CCE" w:rsidRPr="00D55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476"/>
    <w:multiLevelType w:val="hybridMultilevel"/>
    <w:tmpl w:val="8AF0A0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AB2DE1"/>
    <w:multiLevelType w:val="multilevel"/>
    <w:tmpl w:val="89F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D6E25"/>
    <w:multiLevelType w:val="multilevel"/>
    <w:tmpl w:val="69FC68F2"/>
    <w:lvl w:ilvl="0">
      <w:start w:val="1"/>
      <w:numFmt w:val="decimal"/>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84678"/>
    <w:multiLevelType w:val="hybridMultilevel"/>
    <w:tmpl w:val="45F41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D04034"/>
    <w:multiLevelType w:val="hybridMultilevel"/>
    <w:tmpl w:val="B3A41F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C5446"/>
    <w:multiLevelType w:val="hybridMultilevel"/>
    <w:tmpl w:val="AA8C4DE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306B3678"/>
    <w:multiLevelType w:val="hybridMultilevel"/>
    <w:tmpl w:val="731A3E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634346"/>
    <w:multiLevelType w:val="multilevel"/>
    <w:tmpl w:val="1FE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51391"/>
    <w:multiLevelType w:val="hybridMultilevel"/>
    <w:tmpl w:val="790C205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447E4E52"/>
    <w:multiLevelType w:val="hybridMultilevel"/>
    <w:tmpl w:val="DF28BDD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0" w15:restartNumberingAfterBreak="0">
    <w:nsid w:val="4B2E74C9"/>
    <w:multiLevelType w:val="hybridMultilevel"/>
    <w:tmpl w:val="25EE6F4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5B3010A5"/>
    <w:multiLevelType w:val="hybridMultilevel"/>
    <w:tmpl w:val="042C8D4C"/>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2" w15:restartNumberingAfterBreak="0">
    <w:nsid w:val="676A2AE5"/>
    <w:multiLevelType w:val="hybridMultilevel"/>
    <w:tmpl w:val="58D4225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67B84413"/>
    <w:multiLevelType w:val="hybridMultilevel"/>
    <w:tmpl w:val="89F6144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6B9D2662"/>
    <w:multiLevelType w:val="hybridMultilevel"/>
    <w:tmpl w:val="A83808A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6EF862DE"/>
    <w:multiLevelType w:val="hybridMultilevel"/>
    <w:tmpl w:val="8B887076"/>
    <w:lvl w:ilvl="0" w:tplc="BE740280">
      <w:start w:val="1"/>
      <w:numFmt w:val="decimal"/>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2C86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088A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4315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EB55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2D8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2598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E8AC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8C63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7B6CB9"/>
    <w:multiLevelType w:val="hybridMultilevel"/>
    <w:tmpl w:val="9F96A6E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7" w15:restartNumberingAfterBreak="0">
    <w:nsid w:val="72E45A78"/>
    <w:multiLevelType w:val="hybridMultilevel"/>
    <w:tmpl w:val="434883CA"/>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762A6A89"/>
    <w:multiLevelType w:val="hybridMultilevel"/>
    <w:tmpl w:val="912CD45C"/>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7C9B1ACA"/>
    <w:multiLevelType w:val="hybridMultilevel"/>
    <w:tmpl w:val="D13EBCC4"/>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num w:numId="1">
    <w:abstractNumId w:val="15"/>
  </w:num>
  <w:num w:numId="2">
    <w:abstractNumId w:val="6"/>
  </w:num>
  <w:num w:numId="3">
    <w:abstractNumId w:val="0"/>
  </w:num>
  <w:num w:numId="4">
    <w:abstractNumId w:val="1"/>
  </w:num>
  <w:num w:numId="5">
    <w:abstractNumId w:val="7"/>
  </w:num>
  <w:num w:numId="6">
    <w:abstractNumId w:val="3"/>
  </w:num>
  <w:num w:numId="7">
    <w:abstractNumId w:val="4"/>
  </w:num>
  <w:num w:numId="8">
    <w:abstractNumId w:val="2"/>
  </w:num>
  <w:num w:numId="9">
    <w:abstractNumId w:val="17"/>
  </w:num>
  <w:num w:numId="10">
    <w:abstractNumId w:val="14"/>
  </w:num>
  <w:num w:numId="11">
    <w:abstractNumId w:val="5"/>
  </w:num>
  <w:num w:numId="12">
    <w:abstractNumId w:val="10"/>
  </w:num>
  <w:num w:numId="13">
    <w:abstractNumId w:val="11"/>
  </w:num>
  <w:num w:numId="14">
    <w:abstractNumId w:val="19"/>
  </w:num>
  <w:num w:numId="15">
    <w:abstractNumId w:val="12"/>
  </w:num>
  <w:num w:numId="16">
    <w:abstractNumId w:val="13"/>
  </w:num>
  <w:num w:numId="17">
    <w:abstractNumId w:val="1"/>
    <w:lvlOverride w:ilvl="0"/>
    <w:lvlOverride w:ilvl="1"/>
    <w:lvlOverride w:ilvl="2"/>
    <w:lvlOverride w:ilvl="3"/>
    <w:lvlOverride w:ilvl="4"/>
    <w:lvlOverride w:ilvl="5"/>
    <w:lvlOverride w:ilvl="6"/>
    <w:lvlOverride w:ilvl="7"/>
    <w:lvlOverride w:ilvl="8"/>
  </w:num>
  <w:num w:numId="18">
    <w:abstractNumId w:val="3"/>
  </w:num>
  <w:num w:numId="19">
    <w:abstractNumId w:val="7"/>
    <w:lvlOverride w:ilvl="0"/>
    <w:lvlOverride w:ilvl="1"/>
    <w:lvlOverride w:ilvl="2"/>
    <w:lvlOverride w:ilvl="3"/>
    <w:lvlOverride w:ilvl="4"/>
    <w:lvlOverride w:ilvl="5"/>
    <w:lvlOverride w:ilvl="6"/>
    <w:lvlOverride w:ilvl="7"/>
    <w:lvlOverride w:ilvl="8"/>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9"/>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24"/>
    <w:rsid w:val="00002721"/>
    <w:rsid w:val="000E1A0C"/>
    <w:rsid w:val="000F2D24"/>
    <w:rsid w:val="00130F3E"/>
    <w:rsid w:val="00136282"/>
    <w:rsid w:val="0014738A"/>
    <w:rsid w:val="00331DCD"/>
    <w:rsid w:val="003668FB"/>
    <w:rsid w:val="003B2066"/>
    <w:rsid w:val="003F7349"/>
    <w:rsid w:val="004D6C0B"/>
    <w:rsid w:val="00530148"/>
    <w:rsid w:val="00554EDC"/>
    <w:rsid w:val="005D4AA9"/>
    <w:rsid w:val="00655E20"/>
    <w:rsid w:val="0066034B"/>
    <w:rsid w:val="006E0543"/>
    <w:rsid w:val="007340FE"/>
    <w:rsid w:val="00983478"/>
    <w:rsid w:val="009F0758"/>
    <w:rsid w:val="00A31C13"/>
    <w:rsid w:val="00A67503"/>
    <w:rsid w:val="00A75453"/>
    <w:rsid w:val="00AD41C0"/>
    <w:rsid w:val="00B220D4"/>
    <w:rsid w:val="00B837FC"/>
    <w:rsid w:val="00BB1178"/>
    <w:rsid w:val="00BB364D"/>
    <w:rsid w:val="00BB466B"/>
    <w:rsid w:val="00BD3117"/>
    <w:rsid w:val="00CC55ED"/>
    <w:rsid w:val="00CD7330"/>
    <w:rsid w:val="00D55C7F"/>
    <w:rsid w:val="00D57D79"/>
    <w:rsid w:val="00D60904"/>
    <w:rsid w:val="00DA5CCE"/>
    <w:rsid w:val="00DD2961"/>
    <w:rsid w:val="00E1504E"/>
    <w:rsid w:val="00E565A3"/>
    <w:rsid w:val="00E65E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06E9"/>
  <w15:chartTrackingRefBased/>
  <w15:docId w15:val="{4A7FA442-4096-4DF1-B788-6768C00B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24"/>
    <w:rPr>
      <w:kern w:val="0"/>
      <w14:ligatures w14:val="none"/>
    </w:rPr>
  </w:style>
  <w:style w:type="paragraph" w:styleId="Balk1">
    <w:name w:val="heading 1"/>
    <w:basedOn w:val="Normal"/>
    <w:next w:val="Normal"/>
    <w:link w:val="Balk1Char"/>
    <w:uiPriority w:val="9"/>
    <w:qFormat/>
    <w:rsid w:val="000F2D2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0F2D2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0F2D2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F2D2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0F2D2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0F2D2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0F2D24"/>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0F2D24"/>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0F2D24"/>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2D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2D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2D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2D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2D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2D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2D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2D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2D24"/>
    <w:rPr>
      <w:rFonts w:eastAsiaTheme="majorEastAsia" w:cstheme="majorBidi"/>
      <w:color w:val="272727" w:themeColor="text1" w:themeTint="D8"/>
    </w:rPr>
  </w:style>
  <w:style w:type="paragraph" w:styleId="KonuBal">
    <w:name w:val="Title"/>
    <w:basedOn w:val="Normal"/>
    <w:next w:val="Normal"/>
    <w:link w:val="KonuBalChar"/>
    <w:uiPriority w:val="10"/>
    <w:qFormat/>
    <w:rsid w:val="000F2D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F2D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2D2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F2D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2D24"/>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0F2D24"/>
    <w:rPr>
      <w:i/>
      <w:iCs/>
      <w:color w:val="404040" w:themeColor="text1" w:themeTint="BF"/>
    </w:rPr>
  </w:style>
  <w:style w:type="paragraph" w:styleId="ListeParagraf">
    <w:name w:val="List Paragraph"/>
    <w:basedOn w:val="Normal"/>
    <w:uiPriority w:val="34"/>
    <w:qFormat/>
    <w:rsid w:val="000F2D24"/>
    <w:pPr>
      <w:ind w:left="720"/>
      <w:contextualSpacing/>
    </w:pPr>
    <w:rPr>
      <w:kern w:val="2"/>
      <w14:ligatures w14:val="standardContextual"/>
    </w:rPr>
  </w:style>
  <w:style w:type="character" w:styleId="GlVurgulama">
    <w:name w:val="Intense Emphasis"/>
    <w:basedOn w:val="VarsaylanParagrafYazTipi"/>
    <w:uiPriority w:val="21"/>
    <w:qFormat/>
    <w:rsid w:val="000F2D24"/>
    <w:rPr>
      <w:i/>
      <w:iCs/>
      <w:color w:val="0F4761" w:themeColor="accent1" w:themeShade="BF"/>
    </w:rPr>
  </w:style>
  <w:style w:type="paragraph" w:styleId="GlAlnt">
    <w:name w:val="Intense Quote"/>
    <w:basedOn w:val="Normal"/>
    <w:next w:val="Normal"/>
    <w:link w:val="GlAlntChar"/>
    <w:uiPriority w:val="30"/>
    <w:qFormat/>
    <w:rsid w:val="000F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0F2D24"/>
    <w:rPr>
      <w:i/>
      <w:iCs/>
      <w:color w:val="0F4761" w:themeColor="accent1" w:themeShade="BF"/>
    </w:rPr>
  </w:style>
  <w:style w:type="character" w:styleId="GlBavuru">
    <w:name w:val="Intense Reference"/>
    <w:basedOn w:val="VarsaylanParagrafYazTipi"/>
    <w:uiPriority w:val="32"/>
    <w:qFormat/>
    <w:rsid w:val="000F2D24"/>
    <w:rPr>
      <w:b/>
      <w:bCs/>
      <w:smallCaps/>
      <w:color w:val="0F4761" w:themeColor="accent1" w:themeShade="BF"/>
      <w:spacing w:val="5"/>
    </w:rPr>
  </w:style>
  <w:style w:type="paragraph" w:styleId="stBilgi">
    <w:name w:val="header"/>
    <w:basedOn w:val="Normal"/>
    <w:link w:val="stBilgiChar"/>
    <w:uiPriority w:val="99"/>
    <w:unhideWhenUsed/>
    <w:rsid w:val="000F2D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2D24"/>
    <w:rPr>
      <w:kern w:val="0"/>
      <w14:ligatures w14:val="none"/>
    </w:rPr>
  </w:style>
  <w:style w:type="table" w:styleId="TabloKlavuzu">
    <w:name w:val="Table Grid"/>
    <w:basedOn w:val="NormalTablo"/>
    <w:uiPriority w:val="39"/>
    <w:rsid w:val="000F2D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20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20D4"/>
    <w:rPr>
      <w:b/>
      <w:bCs/>
    </w:rPr>
  </w:style>
  <w:style w:type="character" w:styleId="Vurgu">
    <w:name w:val="Emphasis"/>
    <w:basedOn w:val="VarsaylanParagrafYazTipi"/>
    <w:uiPriority w:val="20"/>
    <w:qFormat/>
    <w:rsid w:val="00B22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395">
      <w:bodyDiv w:val="1"/>
      <w:marLeft w:val="0"/>
      <w:marRight w:val="0"/>
      <w:marTop w:val="0"/>
      <w:marBottom w:val="0"/>
      <w:divBdr>
        <w:top w:val="none" w:sz="0" w:space="0" w:color="auto"/>
        <w:left w:val="none" w:sz="0" w:space="0" w:color="auto"/>
        <w:bottom w:val="none" w:sz="0" w:space="0" w:color="auto"/>
        <w:right w:val="none" w:sz="0" w:space="0" w:color="auto"/>
      </w:divBdr>
    </w:div>
    <w:div w:id="442119424">
      <w:bodyDiv w:val="1"/>
      <w:marLeft w:val="0"/>
      <w:marRight w:val="0"/>
      <w:marTop w:val="0"/>
      <w:marBottom w:val="0"/>
      <w:divBdr>
        <w:top w:val="none" w:sz="0" w:space="0" w:color="auto"/>
        <w:left w:val="none" w:sz="0" w:space="0" w:color="auto"/>
        <w:bottom w:val="none" w:sz="0" w:space="0" w:color="auto"/>
        <w:right w:val="none" w:sz="0" w:space="0" w:color="auto"/>
      </w:divBdr>
    </w:div>
    <w:div w:id="518861671">
      <w:bodyDiv w:val="1"/>
      <w:marLeft w:val="0"/>
      <w:marRight w:val="0"/>
      <w:marTop w:val="0"/>
      <w:marBottom w:val="0"/>
      <w:divBdr>
        <w:top w:val="none" w:sz="0" w:space="0" w:color="auto"/>
        <w:left w:val="none" w:sz="0" w:space="0" w:color="auto"/>
        <w:bottom w:val="none" w:sz="0" w:space="0" w:color="auto"/>
        <w:right w:val="none" w:sz="0" w:space="0" w:color="auto"/>
      </w:divBdr>
    </w:div>
    <w:div w:id="13696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895</Words>
  <Characters>5107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PERIHAN  GÜNGÖR ŞIKER</dc:creator>
  <cp:keywords/>
  <dc:description/>
  <cp:lastModifiedBy>User</cp:lastModifiedBy>
  <cp:revision>8</cp:revision>
  <dcterms:created xsi:type="dcterms:W3CDTF">2025-04-28T13:12:00Z</dcterms:created>
  <dcterms:modified xsi:type="dcterms:W3CDTF">2025-12-26T12:24:00Z</dcterms:modified>
</cp:coreProperties>
</file>