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781"/>
      </w:tblGrid>
      <w:tr w:rsidR="003978BA" w:rsidRPr="003978BA" w:rsidTr="003978BA">
        <w:trPr>
          <w:cantSplit/>
          <w:trHeight w:val="8120"/>
        </w:trPr>
        <w:tc>
          <w:tcPr>
            <w:tcW w:w="426" w:type="dxa"/>
            <w:textDirection w:val="btLr"/>
          </w:tcPr>
          <w:p w:rsidR="003978BA" w:rsidRPr="003978BA" w:rsidRDefault="003978BA" w:rsidP="005A0168">
            <w:pPr>
              <w:pStyle w:val="OnemliNot"/>
              <w:spacing w:before="60" w:line="276" w:lineRule="auto"/>
              <w:ind w:left="113" w:right="113"/>
              <w:jc w:val="center"/>
              <w:rPr>
                <w:rFonts w:ascii="Calibri" w:eastAsia="Calibri" w:hAnsi="Calibri" w:cs="Calibri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bookmarkStart w:id="0" w:name="_GoBack"/>
            <w:bookmarkEnd w:id="0"/>
            <w:r w:rsidRPr="003978BA">
              <w:rPr>
                <w:rFonts w:ascii="Calibri" w:eastAsia="Calibri" w:hAnsi="Calibri" w:cs="Calibri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SÖZLEŞME</w:t>
            </w:r>
          </w:p>
        </w:tc>
        <w:tc>
          <w:tcPr>
            <w:tcW w:w="9781" w:type="dxa"/>
          </w:tcPr>
          <w:p w:rsidR="003978BA" w:rsidRPr="003978BA" w:rsidRDefault="003978BA" w:rsidP="005A0168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3978BA" w:rsidRPr="003978BA" w:rsidRDefault="003978BA" w:rsidP="005A0168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Bu sözleşme </w:t>
            </w:r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Halisdemir</w:t>
            </w:r>
            <w:proofErr w:type="spellEnd"/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Üniversitesi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Merkez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i Araştırma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Laboratuvarı ile Müşteri arasındaki Hizmet Sözleşmesidir. </w:t>
            </w:r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Halisdemir</w:t>
            </w:r>
            <w:proofErr w:type="spellEnd"/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Üniversitesi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Merkez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i Araştırma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Laboratuvar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ın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’dan</w:t>
            </w:r>
            <w:proofErr w:type="spellEnd"/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talebinde bulunan tüm kişi ve kuruluşlar “MÜŞTERİ”, </w:t>
            </w:r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Halisdemir</w:t>
            </w:r>
            <w:proofErr w:type="spellEnd"/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Üniversitesi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Merkez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i Araştırma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Laboratuvarı</w:t>
            </w:r>
            <w:r w:rsidR="00D41669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ise “NUMERLAB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” olarak adlandırılmıştır. </w:t>
            </w:r>
          </w:p>
          <w:p w:rsidR="003978BA" w:rsidRPr="003978BA" w:rsidRDefault="003978BA" w:rsidP="005A0168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3978BA" w:rsidRPr="003978BA" w:rsidRDefault="003314B1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şartlarına uygun şekilde numune alma işlemi müşteriye aittir.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Numunenin </w:t>
            </w:r>
            <w:proofErr w:type="spellStart"/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NUMERLAB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’a</w:t>
            </w:r>
            <w:proofErr w:type="spellEnd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kabulüne kadar geçen süre zarfında taşınması, ambalajlanması ve muhafazası müşterinin sorumluluğundadır. Bu etkenlerden dolayı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sonuçlarında oluşacak olumsuzluklardan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sorumlu tutulamaz.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 kabul </w:t>
            </w:r>
            <w:proofErr w:type="gramStart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kriterlerine</w:t>
            </w:r>
            <w:proofErr w:type="gramEnd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uygun olmayan numunelerin başvurusu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tarafından kabul edilmez. 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Müşteri, numuneleri 01‘den başlayarak kodlamalı ve sıralamalıdır. Kodlama silinmeyecek şekilde numunelerin üzerine yazılmalıdır.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Başvuruların kabul edilebilmesi için ilgili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</w:t>
            </w:r>
            <w:proofErr w:type="spellStart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Formu’nun</w:t>
            </w:r>
            <w:proofErr w:type="spellEnd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eksiksiz olarak doldurulması ve yetkili kişi tarafından imzalanması gerekmektedir. </w:t>
            </w:r>
          </w:p>
          <w:p w:rsidR="003978BA" w:rsidRPr="003978BA" w:rsidRDefault="003314B1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</w:t>
            </w:r>
            <w:proofErr w:type="spellStart"/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Formu’nun</w:t>
            </w:r>
            <w:proofErr w:type="spellEnd"/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doldurulup imzalanmasıyla müşteri,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 gönderilen numunenin (varsa) insan ve çevre sağlığına olan zararlı etkilerini beyan ettiğini, etmediği takdirde oluşacak uygunsuzluklardan sorumlu olacağını kabul eder.</w:t>
            </w:r>
          </w:p>
          <w:p w:rsidR="003978BA" w:rsidRPr="003978BA" w:rsidRDefault="003314B1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ler ve ücretlerinin listesi, numune kabul </w:t>
            </w:r>
            <w:proofErr w:type="gramStart"/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kriterleri</w:t>
            </w:r>
            <w:proofErr w:type="gramEnd"/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ve ödeme şartları web sitesinde (merlab.odtu.edu.tr) ayrıntılı olarak yayınlanmıştır.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Beyan edilen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süreleri tahmini süre olup elde olmayan nedenlerden dolayı olabilecek gecikmelerden </w:t>
            </w:r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 sorumlu tutulamaz. Taahhüt edilen şartlardan sapma olduğunda müşteri yazılı veya sözlü olarak bilgilendirilir.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Müşteri randevulu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lerde; randevu zamanında belirtilen laboratuvarda hazır olacağını, zorunlu sebeplerle hazır olamadığı durumlarda en az bir gün önce haber vereceğini, aksi durumlarda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ücretini ödeyeceğini taahhüt eder. 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Müşteri tarafından iadesi talep edilen numuneler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raporu ile birlikte iade edilir. Bu numuneler </w:t>
            </w:r>
            <w:proofErr w:type="spellStart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onbeş</w:t>
            </w:r>
            <w:proofErr w:type="spellEnd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gün içinde teslim alınmadığı takdirde atığa gönderilir.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işlemleri tamamlandıktan sonra, müşteri tarafından aksi belirtilmediği sürece saklanması mümkün olan numuneler üç ay süreyle uygun şartlarda saklanır, bu süre sonunda atığa gönderilir. 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Her türlü kargo masrafı müşteriye aittir. </w:t>
            </w:r>
          </w:p>
          <w:p w:rsidR="003978BA" w:rsidRPr="003978BA" w:rsidRDefault="003314B1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ve hizmet ücr</w:t>
            </w:r>
            <w:r w:rsid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et</w:t>
            </w:r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inin ödendiğine dair belge </w:t>
            </w:r>
            <w:proofErr w:type="spellStart"/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NUMERLAB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’a</w:t>
            </w:r>
            <w:proofErr w:type="spellEnd"/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ibraz edilmeden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raporu düzenlenmez. </w:t>
            </w:r>
          </w:p>
          <w:p w:rsidR="003978BA" w:rsidRPr="003978BA" w:rsidRDefault="003314B1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sonuçlarının bilimsel bir yayında kullanılması halinde bu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lerin yapıldığı yerin </w:t>
            </w:r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Halisdemir</w:t>
            </w:r>
            <w:proofErr w:type="spellEnd"/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Üniversitesi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Merkez Laboratuvarı olduğunun yayında belirtilmesi gerekmektedir.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Müşteri,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sonuçlarının sadece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 yapılan numuneye ait olduğunu, ticari bir amaçla kullanılmayacağını ve reklamlarda </w:t>
            </w:r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Halisdemir</w:t>
            </w:r>
            <w:proofErr w:type="spellEnd"/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Üniversitesi’ni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 adının zikredilerek ve/veya </w:t>
            </w:r>
            <w:proofErr w:type="spellStart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sözkonusu</w:t>
            </w:r>
            <w:proofErr w:type="spellEnd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ürünün </w:t>
            </w:r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Halisdemir</w:t>
            </w:r>
            <w:proofErr w:type="spellEnd"/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Üniversitesi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tarafından onaylandığı anlamına gelecek şekilde kullanılmayacağını taahhüt eder.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Her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sonucunda bir adet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raporu düzenlenir. İlave raporlar ve farklı sonuç formatları ek ücrete tabiidir. 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Müşterinin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sonuçlarına itirazı durumunda yapılan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tekrarlarında aynı sonuçların bulunması durumunda müşteriden tam hizmet bedeli tahsil edilir. </w:t>
            </w:r>
          </w:p>
          <w:p w:rsidR="003978BA" w:rsidRPr="003978BA" w:rsidRDefault="00D41669" w:rsidP="005A0168">
            <w:pPr>
              <w:pStyle w:val="GrupYazi"/>
              <w:numPr>
                <w:ilvl w:val="1"/>
                <w:numId w:val="1"/>
              </w:numPr>
              <w:tabs>
                <w:tab w:val="clear" w:pos="6031"/>
              </w:tabs>
              <w:spacing w:before="0" w:after="0" w:line="276" w:lineRule="auto"/>
              <w:ind w:left="425" w:hanging="425"/>
              <w:rPr>
                <w:rFonts w:ascii="Calibri" w:eastAsia="Calibri" w:hAnsi="Calibri" w:cs="Calibri"/>
                <w:szCs w:val="18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Cs w:val="18"/>
                <w:lang w:eastAsia="en-US"/>
              </w:rPr>
              <w:t>NU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>MERLAB’a</w:t>
            </w:r>
            <w:proofErr w:type="spellEnd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talebinde bulunulan SANTEZ, KOSGEB, BAP, AB, TÜBİTAK vb. kapsamında yürütülen projelerin içerik, süre ve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bilgileri </w:t>
            </w:r>
            <w:r>
              <w:rPr>
                <w:rFonts w:ascii="Calibri" w:eastAsia="Calibri" w:hAnsi="Calibri" w:cs="Calibri"/>
                <w:szCs w:val="18"/>
                <w:lang w:eastAsia="en-US"/>
              </w:rPr>
              <w:t>NU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MERLAB tarafından bilinmemekte ve takibi yapılmamaktadır. </w:t>
            </w:r>
            <w:proofErr w:type="spellStart"/>
            <w:r>
              <w:rPr>
                <w:rFonts w:ascii="Calibri" w:eastAsia="Calibri" w:hAnsi="Calibri" w:cs="Calibri"/>
                <w:szCs w:val="18"/>
                <w:lang w:eastAsia="en-US"/>
              </w:rPr>
              <w:t>NU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>MERLAB’da</w:t>
            </w:r>
            <w:proofErr w:type="spellEnd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yapılması talep edilen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lerin ilgili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İstek </w:t>
            </w:r>
            <w:proofErr w:type="spellStart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>Formu’nda</w:t>
            </w:r>
            <w:proofErr w:type="spellEnd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ve/veya Para Aktarma </w:t>
            </w:r>
            <w:proofErr w:type="spellStart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>Formu’nda</w:t>
            </w:r>
            <w:proofErr w:type="spellEnd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numarası belirtilen proje şartlarına uygunluğunun olmamasından doğabilecek hukuki ve cezai sorumluluk proje yürütücüsü ve müşterilere aittir. </w:t>
            </w:r>
            <w:proofErr w:type="gramStart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Süresi bitmiş proje ücretlerinin kullanılması, projede belirtilen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ler harici olan ve proje kapsamındaymış gibi talep edilecek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yaptırılması ve yapılan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ile </w:t>
            </w:r>
            <w:r w:rsidR="00C15D26">
              <w:rPr>
                <w:rFonts w:ascii="Calibri" w:eastAsia="Calibri" w:hAnsi="Calibri" w:cs="Calibri"/>
                <w:szCs w:val="18"/>
                <w:lang w:eastAsia="en-US"/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szCs w:val="18"/>
                <w:lang w:eastAsia="en-US"/>
              </w:rPr>
              <w:t>Halisdemir</w:t>
            </w:r>
            <w:proofErr w:type="spellEnd"/>
            <w:r w:rsidR="00C15D26">
              <w:rPr>
                <w:rFonts w:ascii="Calibri" w:eastAsia="Calibri" w:hAnsi="Calibri" w:cs="Calibri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Cs w:val="18"/>
                <w:lang w:eastAsia="en-US"/>
              </w:rPr>
              <w:t>Üniversitesi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Döner Sermaye İşletmesi’nden alınacak fatura içeriğinin birbiriyle farklı olmasında doğabilecek hukuki ve cezai sorumluluklar </w:t>
            </w:r>
            <w:r>
              <w:rPr>
                <w:rFonts w:ascii="Calibri" w:eastAsia="Calibri" w:hAnsi="Calibri" w:cs="Calibri"/>
                <w:szCs w:val="18"/>
                <w:lang w:eastAsia="en-US"/>
              </w:rPr>
              <w:t>NU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MERLAB tarafından tanzim edilen işbu sözleşme gereğince proje yürütücüsü ve müşterilere aittir. </w:t>
            </w:r>
            <w:proofErr w:type="gramEnd"/>
          </w:p>
          <w:p w:rsidR="003978BA" w:rsidRPr="003978BA" w:rsidRDefault="00D41669" w:rsidP="005A0168">
            <w:pPr>
              <w:pStyle w:val="GrupYazi"/>
              <w:numPr>
                <w:ilvl w:val="1"/>
                <w:numId w:val="1"/>
              </w:numPr>
              <w:tabs>
                <w:tab w:val="clear" w:pos="6031"/>
              </w:tabs>
              <w:spacing w:before="0" w:after="0" w:line="276" w:lineRule="auto"/>
              <w:ind w:left="425" w:hanging="425"/>
              <w:rPr>
                <w:rFonts w:ascii="Calibri" w:eastAsia="Calibri" w:hAnsi="Calibri" w:cs="Calibri"/>
                <w:i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Cs w:val="18"/>
                <w:lang w:eastAsia="en-US"/>
              </w:rPr>
              <w:t>Anlaşmazlık durumlarında Niğde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Mahkemeleri yetkilidir.</w:t>
            </w:r>
          </w:p>
        </w:tc>
      </w:tr>
    </w:tbl>
    <w:p w:rsidR="00247E78" w:rsidRDefault="00247E78"/>
    <w:sectPr w:rsidR="00247E78" w:rsidSect="003978BA">
      <w:headerReference w:type="default" r:id="rId7"/>
      <w:pgSz w:w="11906" w:h="16838"/>
      <w:pgMar w:top="1417" w:right="1417" w:bottom="1417" w:left="141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1D" w:rsidRDefault="00A7421D" w:rsidP="003978BA">
      <w:r>
        <w:separator/>
      </w:r>
    </w:p>
  </w:endnote>
  <w:endnote w:type="continuationSeparator" w:id="0">
    <w:p w:rsidR="00A7421D" w:rsidRDefault="00A7421D" w:rsidP="0039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1D" w:rsidRDefault="00A7421D" w:rsidP="003978BA">
      <w:r>
        <w:separator/>
      </w:r>
    </w:p>
  </w:footnote>
  <w:footnote w:type="continuationSeparator" w:id="0">
    <w:p w:rsidR="00A7421D" w:rsidRDefault="00A7421D" w:rsidP="0039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1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4"/>
    </w:tblGrid>
    <w:tr w:rsidR="003978BA" w:rsidRPr="006164B5" w:rsidTr="00C15D26">
      <w:trPr>
        <w:trHeight w:hRule="exact" w:val="1563"/>
      </w:trPr>
      <w:tc>
        <w:tcPr>
          <w:tcW w:w="1843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3978BA" w:rsidRPr="006164B5" w:rsidRDefault="003978BA" w:rsidP="003978BA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57D0EFD" wp14:editId="49B4D481">
                <wp:extent cx="972000" cy="97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3978BA" w:rsidRPr="006164B5" w:rsidRDefault="00C15D26" w:rsidP="003978BA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3978BA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3978BA" w:rsidRDefault="003978BA" w:rsidP="003978BA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3978BA" w:rsidRDefault="00C15D26" w:rsidP="003978BA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3978BA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3978BA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3978BA" w:rsidRPr="006164B5" w:rsidRDefault="003978BA" w:rsidP="00B07D0A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 w:rsidR="00B07D0A" w:rsidRPr="00B07D0A">
            <w:rPr>
              <w:rFonts w:ascii="Calibri" w:hAnsi="Calibri" w:cs="Calibri"/>
              <w:sz w:val="16"/>
              <w:szCs w:val="16"/>
            </w:rPr>
            <w:t>numerlab@nigde.edu.tr</w:t>
          </w:r>
          <w:r>
            <w:rPr>
              <w:rFonts w:ascii="Calibri" w:hAnsi="Calibri" w:cs="Calibri"/>
              <w:sz w:val="16"/>
              <w:szCs w:val="16"/>
            </w:rPr>
            <w:t xml:space="preserve">  </w:t>
          </w:r>
          <w:r w:rsidR="00D41669">
            <w:rPr>
              <w:rFonts w:ascii="Calibri" w:hAnsi="Calibri" w:cs="Calibri"/>
              <w:sz w:val="16"/>
              <w:szCs w:val="16"/>
            </w:rPr>
            <w:t xml:space="preserve">web: </w:t>
          </w:r>
          <w:r w:rsidR="00D35E61">
            <w:rPr>
              <w:rFonts w:ascii="Calibri" w:hAnsi="Calibri" w:cs="Calibri"/>
              <w:sz w:val="16"/>
              <w:szCs w:val="16"/>
            </w:rPr>
            <w:t>http://numerlab.nigde.edu.tr</w:t>
          </w:r>
        </w:p>
      </w:tc>
    </w:tr>
    <w:tr w:rsidR="003978BA" w:rsidRPr="006164B5" w:rsidTr="003978BA">
      <w:trPr>
        <w:trHeight w:val="265"/>
      </w:trPr>
      <w:tc>
        <w:tcPr>
          <w:tcW w:w="10207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978BA" w:rsidRPr="00CC3A91" w:rsidRDefault="00D41669" w:rsidP="003978BA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NUMERLAB</w:t>
          </w:r>
          <w:r w:rsidR="003978BA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 HİZMET SÖZLEŞMESİ</w:t>
          </w:r>
        </w:p>
      </w:tc>
    </w:tr>
  </w:tbl>
  <w:p w:rsidR="003978BA" w:rsidRDefault="003978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9C44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B7"/>
    <w:rsid w:val="0000726A"/>
    <w:rsid w:val="000509DC"/>
    <w:rsid w:val="001C0D7B"/>
    <w:rsid w:val="00247E78"/>
    <w:rsid w:val="003314B1"/>
    <w:rsid w:val="003978BA"/>
    <w:rsid w:val="003D4E22"/>
    <w:rsid w:val="00451F1C"/>
    <w:rsid w:val="00A7421D"/>
    <w:rsid w:val="00B07D0A"/>
    <w:rsid w:val="00C15D26"/>
    <w:rsid w:val="00D35E61"/>
    <w:rsid w:val="00D41669"/>
    <w:rsid w:val="00E23A5B"/>
    <w:rsid w:val="00E55CB7"/>
    <w:rsid w:val="00F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9D6371-F72B-4D8F-BFCA-8FB5D75B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BA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3978BA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3978BA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3978BA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78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78BA"/>
    <w:rPr>
      <w:rFonts w:eastAsia="Bitstream Vera Sans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78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78BA"/>
    <w:rPr>
      <w:rFonts w:eastAsia="Bitstream Vera Sans" w:cs="Times New Roman"/>
      <w:szCs w:val="24"/>
      <w:lang w:eastAsia="tr-TR"/>
    </w:rPr>
  </w:style>
  <w:style w:type="paragraph" w:customStyle="1" w:styleId="MerkeziLab">
    <w:name w:val="Merkezi Lab"/>
    <w:rsid w:val="003978BA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3978BA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3978BA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merkez_lab</cp:lastModifiedBy>
  <cp:revision>2</cp:revision>
  <dcterms:created xsi:type="dcterms:W3CDTF">2017-07-18T11:32:00Z</dcterms:created>
  <dcterms:modified xsi:type="dcterms:W3CDTF">2017-07-18T11:32:00Z</dcterms:modified>
</cp:coreProperties>
</file>