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84A6" w14:textId="77777777"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14:paraId="683482FC" w14:textId="77777777"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14:paraId="4191DD9B"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2E75B5"/>
          <w:sz w:val="32"/>
          <w:szCs w:val="32"/>
        </w:rPr>
      </w:pPr>
      <w:r w:rsidRPr="005F024A">
        <w:rPr>
          <w:rFonts w:ascii="Times New Roman" w:hAnsi="Times New Roman"/>
          <w:noProof/>
          <w:lang w:eastAsia="tr-TR"/>
        </w:rPr>
        <w:drawing>
          <wp:inline distT="0" distB="0" distL="0" distR="0" wp14:anchorId="4CA1CF18" wp14:editId="7692BA03">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13EF57E8"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00C1587"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AA2C95D" w14:textId="77777777"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ÖZ DEĞERLENDİRME RAPORU</w:t>
      </w:r>
    </w:p>
    <w:p w14:paraId="6213CF26" w14:textId="77777777" w:rsidR="001E62B5" w:rsidRPr="005F024A" w:rsidRDefault="001E62B5" w:rsidP="001E62B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2CFEC0E5"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43ACDBC"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EF37626" w14:textId="7E53CE7D" w:rsidR="001E62B5" w:rsidRPr="005F024A" w:rsidRDefault="002D6826"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MÜTERCİM </w:t>
      </w:r>
      <w:r w:rsidR="00243BD6">
        <w:rPr>
          <w:rFonts w:ascii="Times New Roman" w:eastAsia="Times New Roman" w:hAnsi="Times New Roman"/>
          <w:b/>
          <w:color w:val="0D0D0D"/>
          <w:sz w:val="32"/>
          <w:szCs w:val="32"/>
        </w:rPr>
        <w:t xml:space="preserve">VE </w:t>
      </w:r>
      <w:r>
        <w:rPr>
          <w:rFonts w:ascii="Times New Roman" w:eastAsia="Times New Roman" w:hAnsi="Times New Roman"/>
          <w:b/>
          <w:color w:val="0D0D0D"/>
          <w:sz w:val="32"/>
          <w:szCs w:val="32"/>
        </w:rPr>
        <w:t>TERCÜMANLIK BÖLÜMÜ</w:t>
      </w:r>
    </w:p>
    <w:p w14:paraId="7D0842E7"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0FB937A"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E557708"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7FC41ADC" w14:textId="77777777" w:rsidR="001E62B5" w:rsidRDefault="00FC458A"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NİĞDE ÖMER HALİSDEMİR ÜNİVERSİTESİ</w:t>
      </w:r>
    </w:p>
    <w:p w14:paraId="21476987" w14:textId="77777777" w:rsidR="00FC458A" w:rsidRPr="005F024A" w:rsidRDefault="00FC458A"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İNSAN VE TOPLUM BİLİMLERİ FAKÜLTESİ</w:t>
      </w:r>
    </w:p>
    <w:p w14:paraId="4BA82068" w14:textId="77777777" w:rsidR="001E62B5" w:rsidRPr="005F024A" w:rsidRDefault="001E62B5" w:rsidP="001E62B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BF010BF" w14:textId="77777777" w:rsidR="001E62B5" w:rsidRPr="005F024A" w:rsidRDefault="001E62B5" w:rsidP="001E62B5">
      <w:pPr>
        <w:jc w:val="center"/>
        <w:rPr>
          <w:rFonts w:ascii="Times New Roman" w:eastAsia="Times New Roman" w:hAnsi="Times New Roman"/>
          <w:b/>
          <w:color w:val="0D0D0D"/>
          <w:sz w:val="32"/>
          <w:szCs w:val="32"/>
        </w:rPr>
      </w:pPr>
    </w:p>
    <w:p w14:paraId="13BF367F" w14:textId="77777777" w:rsidR="001E62B5" w:rsidRPr="005F024A" w:rsidRDefault="001E62B5" w:rsidP="001E62B5">
      <w:pPr>
        <w:jc w:val="center"/>
        <w:rPr>
          <w:rFonts w:ascii="Times New Roman" w:eastAsia="Times New Roman" w:hAnsi="Times New Roman"/>
          <w:b/>
          <w:color w:val="0D0D0D"/>
          <w:sz w:val="32"/>
          <w:szCs w:val="32"/>
        </w:rPr>
      </w:pPr>
    </w:p>
    <w:p w14:paraId="299A6813" w14:textId="77777777" w:rsidR="001E62B5" w:rsidRPr="005F024A" w:rsidRDefault="001E62B5" w:rsidP="001E62B5">
      <w:pPr>
        <w:jc w:val="center"/>
        <w:rPr>
          <w:rFonts w:ascii="Times New Roman" w:eastAsia="Times New Roman" w:hAnsi="Times New Roman"/>
          <w:b/>
          <w:color w:val="0D0D0D"/>
          <w:sz w:val="32"/>
          <w:szCs w:val="32"/>
        </w:rPr>
      </w:pPr>
    </w:p>
    <w:p w14:paraId="239774C0" w14:textId="533FB8DE" w:rsidR="001E62B5" w:rsidRPr="005F024A" w:rsidRDefault="00FC458A" w:rsidP="001E62B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0</w:t>
      </w:r>
      <w:r w:rsidR="007E2A00">
        <w:rPr>
          <w:rFonts w:ascii="Times New Roman" w:eastAsia="Times New Roman" w:hAnsi="Times New Roman"/>
          <w:b/>
          <w:color w:val="0D0D0D"/>
          <w:sz w:val="32"/>
          <w:szCs w:val="32"/>
        </w:rPr>
        <w:t>8</w:t>
      </w:r>
      <w:r>
        <w:rPr>
          <w:rFonts w:ascii="Times New Roman" w:eastAsia="Times New Roman" w:hAnsi="Times New Roman"/>
          <w:b/>
          <w:color w:val="0D0D0D"/>
          <w:sz w:val="32"/>
          <w:szCs w:val="32"/>
        </w:rPr>
        <w:t>.01.202</w:t>
      </w:r>
      <w:r w:rsidR="00243BD6">
        <w:rPr>
          <w:rFonts w:ascii="Times New Roman" w:eastAsia="Times New Roman" w:hAnsi="Times New Roman"/>
          <w:b/>
          <w:color w:val="0D0D0D"/>
          <w:sz w:val="32"/>
          <w:szCs w:val="32"/>
        </w:rPr>
        <w:t>6</w:t>
      </w:r>
      <w:r w:rsidR="001E62B5" w:rsidRPr="005F024A">
        <w:rPr>
          <w:rFonts w:ascii="Times New Roman" w:eastAsia="Times New Roman" w:hAnsi="Times New Roman"/>
          <w:b/>
          <w:color w:val="0D0D0D"/>
          <w:sz w:val="32"/>
          <w:szCs w:val="32"/>
        </w:rPr>
        <w:t xml:space="preserve"> </w:t>
      </w:r>
    </w:p>
    <w:p w14:paraId="0466A70C" w14:textId="77777777" w:rsidR="001E62B5" w:rsidRPr="005F024A" w:rsidRDefault="001E62B5" w:rsidP="001E62B5">
      <w:pPr>
        <w:rPr>
          <w:rFonts w:ascii="Times New Roman" w:eastAsia="Times New Roman" w:hAnsi="Times New Roman"/>
          <w:b/>
          <w:color w:val="0D0D0D"/>
          <w:sz w:val="32"/>
          <w:szCs w:val="32"/>
        </w:rPr>
      </w:pPr>
      <w:r w:rsidRPr="005F024A">
        <w:rPr>
          <w:rFonts w:ascii="Times New Roman" w:hAnsi="Times New Roman"/>
        </w:rPr>
        <w:br w:type="page"/>
      </w:r>
    </w:p>
    <w:p w14:paraId="71231ACC" w14:textId="77777777" w:rsidR="001E62B5" w:rsidRPr="005F024A" w:rsidRDefault="001E62B5" w:rsidP="001E62B5">
      <w:pPr>
        <w:rPr>
          <w:rFonts w:ascii="Times New Roman" w:eastAsia="Times New Roman" w:hAnsi="Times New Roman"/>
          <w:b/>
          <w:color w:val="0D0D0D"/>
          <w:sz w:val="28"/>
          <w:szCs w:val="32"/>
        </w:rPr>
      </w:pPr>
      <w:r w:rsidRPr="005F024A">
        <w:rPr>
          <w:rFonts w:ascii="Times New Roman" w:eastAsia="Times New Roman" w:hAnsi="Times New Roman"/>
          <w:b/>
          <w:color w:val="2E75B5"/>
          <w:sz w:val="28"/>
          <w:szCs w:val="32"/>
        </w:rPr>
        <w:lastRenderedPageBreak/>
        <w:t>GENEL BİLGİLER</w:t>
      </w:r>
    </w:p>
    <w:p w14:paraId="6AC80116" w14:textId="77777777" w:rsidR="001E62B5" w:rsidRDefault="001E62B5" w:rsidP="001E62B5">
      <w:pPr>
        <w:spacing w:before="160"/>
        <w:ind w:left="119" w:hanging="119"/>
        <w:rPr>
          <w:rFonts w:ascii="Times New Roman" w:eastAsia="Times New Roman" w:hAnsi="Times New Roman"/>
          <w:b/>
          <w:sz w:val="24"/>
          <w:szCs w:val="24"/>
        </w:rPr>
      </w:pPr>
      <w:r w:rsidRPr="005F024A">
        <w:rPr>
          <w:rFonts w:ascii="Times New Roman" w:eastAsia="Times New Roman" w:hAnsi="Times New Roman"/>
          <w:b/>
          <w:sz w:val="24"/>
          <w:szCs w:val="24"/>
        </w:rPr>
        <w:t>1. İletişim Bilgileri</w:t>
      </w:r>
    </w:p>
    <w:p w14:paraId="15DEA84C" w14:textId="68FB3DE0" w:rsidR="00A37DA6" w:rsidRPr="00A37DA6" w:rsidRDefault="00A37DA6" w:rsidP="001E62B5">
      <w:pPr>
        <w:spacing w:before="160"/>
        <w:ind w:left="119" w:hanging="119"/>
        <w:rPr>
          <w:rFonts w:ascii="Times New Roman" w:eastAsia="Times New Roman" w:hAnsi="Times New Roman"/>
          <w:sz w:val="24"/>
          <w:szCs w:val="24"/>
        </w:rPr>
      </w:pPr>
      <w:r w:rsidRPr="00A37DA6">
        <w:rPr>
          <w:rFonts w:ascii="Times New Roman" w:eastAsia="Times New Roman" w:hAnsi="Times New Roman"/>
          <w:sz w:val="24"/>
          <w:szCs w:val="24"/>
        </w:rPr>
        <w:t>0 (388) 225 20 7</w:t>
      </w:r>
      <w:r w:rsidR="00243BD6">
        <w:rPr>
          <w:rFonts w:ascii="Times New Roman" w:eastAsia="Times New Roman" w:hAnsi="Times New Roman"/>
          <w:sz w:val="24"/>
          <w:szCs w:val="24"/>
        </w:rPr>
        <w:t>7</w:t>
      </w:r>
    </w:p>
    <w:p w14:paraId="19EB3677" w14:textId="77777777" w:rsidR="001E62B5" w:rsidRPr="005F024A" w:rsidRDefault="001E62B5" w:rsidP="001E62B5">
      <w:pPr>
        <w:ind w:left="118" w:hanging="118"/>
        <w:rPr>
          <w:rFonts w:ascii="Times New Roman" w:eastAsia="Times New Roman" w:hAnsi="Times New Roman"/>
          <w:b/>
          <w:sz w:val="24"/>
          <w:szCs w:val="24"/>
        </w:rPr>
      </w:pPr>
    </w:p>
    <w:p w14:paraId="6F953850" w14:textId="77777777" w:rsidR="001E62B5" w:rsidRPr="005F024A" w:rsidRDefault="001E62B5" w:rsidP="001E62B5">
      <w:pPr>
        <w:ind w:left="118" w:hanging="118"/>
        <w:rPr>
          <w:rFonts w:ascii="Times New Roman" w:eastAsia="Times New Roman" w:hAnsi="Times New Roman"/>
          <w:b/>
          <w:sz w:val="24"/>
          <w:szCs w:val="24"/>
        </w:rPr>
      </w:pPr>
      <w:r w:rsidRPr="005F024A">
        <w:rPr>
          <w:rFonts w:ascii="Times New Roman" w:eastAsia="Times New Roman" w:hAnsi="Times New Roman"/>
          <w:b/>
          <w:sz w:val="24"/>
          <w:szCs w:val="24"/>
        </w:rPr>
        <w:t>2. Birimdeki Programlar Hakkında Bilgi, Kısa Tarihçe ve Değişiklikler</w:t>
      </w:r>
    </w:p>
    <w:p w14:paraId="4A9E4109" w14:textId="77777777" w:rsidR="001E62B5" w:rsidRPr="005F024A" w:rsidRDefault="001E62B5" w:rsidP="001E62B5">
      <w:pPr>
        <w:ind w:left="118" w:hanging="118"/>
        <w:jc w:val="both"/>
        <w:rPr>
          <w:rFonts w:ascii="Times New Roman" w:eastAsia="Times New Roman" w:hAnsi="Times New Roman"/>
          <w:b/>
          <w:sz w:val="24"/>
          <w:szCs w:val="24"/>
        </w:rPr>
      </w:pPr>
    </w:p>
    <w:p w14:paraId="3431C65E" w14:textId="77777777" w:rsidR="001E62B5" w:rsidRPr="005F024A"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1E62B5" w:rsidRPr="005F024A" w14:paraId="7DAE9F20" w14:textId="77777777" w:rsidTr="00EB1A4D">
        <w:trPr>
          <w:jc w:val="center"/>
        </w:trPr>
        <w:tc>
          <w:tcPr>
            <w:tcW w:w="2472" w:type="dxa"/>
            <w:vAlign w:val="center"/>
          </w:tcPr>
          <w:p w14:paraId="7493E4A7" w14:textId="77777777" w:rsidR="001E62B5" w:rsidRPr="005F024A" w:rsidRDefault="001E62B5" w:rsidP="00EB1A4D">
            <w:pPr>
              <w:rPr>
                <w:rFonts w:ascii="Times New Roman" w:hAnsi="Times New Roman"/>
                <w:b/>
              </w:rPr>
            </w:pPr>
            <w:r w:rsidRPr="005F024A">
              <w:rPr>
                <w:rFonts w:ascii="Times New Roman" w:hAnsi="Times New Roman"/>
                <w:b/>
              </w:rPr>
              <w:t>Programın Adı</w:t>
            </w:r>
          </w:p>
        </w:tc>
        <w:tc>
          <w:tcPr>
            <w:tcW w:w="2626" w:type="dxa"/>
            <w:vAlign w:val="center"/>
          </w:tcPr>
          <w:p w14:paraId="68B7D912" w14:textId="77777777" w:rsidR="001E62B5" w:rsidRPr="005F024A" w:rsidRDefault="001E62B5" w:rsidP="00EB1A4D">
            <w:pPr>
              <w:rPr>
                <w:rFonts w:ascii="Times New Roman" w:hAnsi="Times New Roman"/>
                <w:b/>
              </w:rPr>
            </w:pPr>
            <w:r w:rsidRPr="005F024A">
              <w:rPr>
                <w:rFonts w:ascii="Times New Roman" w:hAnsi="Times New Roman"/>
                <w:b/>
              </w:rPr>
              <w:t>Türü (Normal /</w:t>
            </w:r>
            <w:r w:rsidRPr="005F024A">
              <w:rPr>
                <w:rFonts w:ascii="Times New Roman" w:hAnsi="Times New Roman"/>
                <w:b/>
              </w:rPr>
              <w:br/>
              <w:t>II. Öğretim; Eğitim Dili vs.)</w:t>
            </w:r>
          </w:p>
        </w:tc>
        <w:tc>
          <w:tcPr>
            <w:tcW w:w="2055" w:type="dxa"/>
            <w:vAlign w:val="center"/>
          </w:tcPr>
          <w:p w14:paraId="700F71DC" w14:textId="77777777" w:rsidR="001E62B5" w:rsidRPr="005F024A" w:rsidRDefault="001E62B5" w:rsidP="00EB1A4D">
            <w:pPr>
              <w:rPr>
                <w:rFonts w:ascii="Times New Roman" w:hAnsi="Times New Roman"/>
                <w:b/>
              </w:rPr>
            </w:pPr>
            <w:r w:rsidRPr="005F024A">
              <w:rPr>
                <w:rFonts w:ascii="Times New Roman" w:hAnsi="Times New Roman"/>
                <w:b/>
              </w:rPr>
              <w:t>Programın Süresi</w:t>
            </w:r>
          </w:p>
        </w:tc>
        <w:tc>
          <w:tcPr>
            <w:tcW w:w="1831" w:type="dxa"/>
            <w:vAlign w:val="center"/>
          </w:tcPr>
          <w:p w14:paraId="1B8FFB76" w14:textId="77777777" w:rsidR="001E62B5" w:rsidRPr="005F024A" w:rsidRDefault="001E62B5" w:rsidP="00EB1A4D">
            <w:pPr>
              <w:rPr>
                <w:rFonts w:ascii="Times New Roman" w:hAnsi="Times New Roman"/>
                <w:b/>
              </w:rPr>
            </w:pPr>
            <w:r w:rsidRPr="005F024A">
              <w:rPr>
                <w:rFonts w:ascii="Times New Roman" w:hAnsi="Times New Roman"/>
                <w:b/>
              </w:rPr>
              <w:t>Kayıtlı Öğrenci Sayısı</w:t>
            </w:r>
          </w:p>
        </w:tc>
      </w:tr>
      <w:tr w:rsidR="001E62B5" w:rsidRPr="005F024A" w14:paraId="6EDD64DE" w14:textId="77777777" w:rsidTr="00EB1A4D">
        <w:trPr>
          <w:jc w:val="center"/>
        </w:trPr>
        <w:tc>
          <w:tcPr>
            <w:tcW w:w="2472" w:type="dxa"/>
            <w:vAlign w:val="center"/>
          </w:tcPr>
          <w:p w14:paraId="2F1B96D9" w14:textId="77777777" w:rsidR="001E62B5" w:rsidRPr="005F024A" w:rsidRDefault="00A37DA6" w:rsidP="00EB1A4D">
            <w:pPr>
              <w:rPr>
                <w:rFonts w:ascii="Times New Roman" w:hAnsi="Times New Roman"/>
              </w:rPr>
            </w:pPr>
            <w:r>
              <w:rPr>
                <w:rFonts w:ascii="Times New Roman" w:hAnsi="Times New Roman"/>
              </w:rPr>
              <w:t>İngilizce Mütercim ve Tercümanlık Anabilim Dalı</w:t>
            </w:r>
          </w:p>
        </w:tc>
        <w:tc>
          <w:tcPr>
            <w:tcW w:w="2626" w:type="dxa"/>
            <w:vAlign w:val="center"/>
          </w:tcPr>
          <w:p w14:paraId="5076BF00" w14:textId="77777777" w:rsidR="001E62B5" w:rsidRDefault="00A37DA6" w:rsidP="00EB1A4D">
            <w:pPr>
              <w:rPr>
                <w:rFonts w:ascii="Times New Roman" w:hAnsi="Times New Roman"/>
              </w:rPr>
            </w:pPr>
            <w:r>
              <w:rPr>
                <w:rFonts w:ascii="Times New Roman" w:hAnsi="Times New Roman"/>
              </w:rPr>
              <w:t>Normal Öğretim</w:t>
            </w:r>
          </w:p>
          <w:p w14:paraId="768A375E" w14:textId="77777777" w:rsidR="00A37DA6" w:rsidRPr="005F024A" w:rsidRDefault="00A37DA6" w:rsidP="00EB1A4D">
            <w:pPr>
              <w:rPr>
                <w:rFonts w:ascii="Times New Roman" w:hAnsi="Times New Roman"/>
              </w:rPr>
            </w:pPr>
            <w:r>
              <w:rPr>
                <w:rFonts w:ascii="Times New Roman" w:hAnsi="Times New Roman"/>
              </w:rPr>
              <w:t>Eğitim Dili: Türkçe/İngilizce</w:t>
            </w:r>
          </w:p>
        </w:tc>
        <w:tc>
          <w:tcPr>
            <w:tcW w:w="2055" w:type="dxa"/>
            <w:vAlign w:val="center"/>
          </w:tcPr>
          <w:p w14:paraId="2F7AFF38" w14:textId="77777777" w:rsidR="001E62B5" w:rsidRPr="005F024A" w:rsidRDefault="00A37DA6" w:rsidP="00EB1A4D">
            <w:pPr>
              <w:rPr>
                <w:rFonts w:ascii="Times New Roman" w:hAnsi="Times New Roman"/>
              </w:rPr>
            </w:pPr>
            <w:r>
              <w:rPr>
                <w:rFonts w:ascii="Times New Roman" w:hAnsi="Times New Roman"/>
              </w:rPr>
              <w:t>4 yıl</w:t>
            </w:r>
          </w:p>
        </w:tc>
        <w:tc>
          <w:tcPr>
            <w:tcW w:w="1831" w:type="dxa"/>
            <w:vAlign w:val="center"/>
          </w:tcPr>
          <w:p w14:paraId="1C9DDABE" w14:textId="77777777" w:rsidR="001E62B5" w:rsidRPr="005F024A" w:rsidRDefault="00A37DA6" w:rsidP="00EB1A4D">
            <w:pPr>
              <w:rPr>
                <w:rFonts w:ascii="Times New Roman" w:hAnsi="Times New Roman"/>
              </w:rPr>
            </w:pPr>
            <w:r>
              <w:rPr>
                <w:rFonts w:ascii="Times New Roman" w:hAnsi="Times New Roman"/>
              </w:rPr>
              <w:t>-</w:t>
            </w:r>
          </w:p>
        </w:tc>
      </w:tr>
      <w:tr w:rsidR="001E62B5" w:rsidRPr="005F024A" w14:paraId="59F8B892" w14:textId="77777777" w:rsidTr="00EB1A4D">
        <w:trPr>
          <w:jc w:val="center"/>
        </w:trPr>
        <w:tc>
          <w:tcPr>
            <w:tcW w:w="2472" w:type="dxa"/>
            <w:vAlign w:val="center"/>
          </w:tcPr>
          <w:p w14:paraId="3E737B2E" w14:textId="77777777" w:rsidR="001E62B5" w:rsidRPr="005F024A" w:rsidRDefault="001E62B5" w:rsidP="00EB1A4D">
            <w:pPr>
              <w:rPr>
                <w:rFonts w:ascii="Times New Roman" w:hAnsi="Times New Roman"/>
              </w:rPr>
            </w:pPr>
          </w:p>
        </w:tc>
        <w:tc>
          <w:tcPr>
            <w:tcW w:w="2626" w:type="dxa"/>
            <w:vAlign w:val="center"/>
          </w:tcPr>
          <w:p w14:paraId="6F496827" w14:textId="77777777" w:rsidR="001E62B5" w:rsidRPr="005F024A" w:rsidRDefault="001E62B5" w:rsidP="00EB1A4D">
            <w:pPr>
              <w:rPr>
                <w:rFonts w:ascii="Times New Roman" w:hAnsi="Times New Roman"/>
              </w:rPr>
            </w:pPr>
          </w:p>
        </w:tc>
        <w:tc>
          <w:tcPr>
            <w:tcW w:w="2055" w:type="dxa"/>
            <w:vAlign w:val="center"/>
          </w:tcPr>
          <w:p w14:paraId="6E2D9534" w14:textId="77777777" w:rsidR="001E62B5" w:rsidRPr="005F024A" w:rsidRDefault="001E62B5" w:rsidP="00EB1A4D">
            <w:pPr>
              <w:rPr>
                <w:rFonts w:ascii="Times New Roman" w:hAnsi="Times New Roman"/>
              </w:rPr>
            </w:pPr>
          </w:p>
        </w:tc>
        <w:tc>
          <w:tcPr>
            <w:tcW w:w="1831" w:type="dxa"/>
            <w:vAlign w:val="center"/>
          </w:tcPr>
          <w:p w14:paraId="65C1E19A" w14:textId="77777777" w:rsidR="001E62B5" w:rsidRPr="005F024A" w:rsidRDefault="001E62B5" w:rsidP="00EB1A4D">
            <w:pPr>
              <w:rPr>
                <w:rFonts w:ascii="Times New Roman" w:hAnsi="Times New Roman"/>
              </w:rPr>
            </w:pPr>
          </w:p>
        </w:tc>
      </w:tr>
      <w:tr w:rsidR="001E62B5" w:rsidRPr="005F024A" w14:paraId="6D1BC3F2" w14:textId="77777777" w:rsidTr="00EB1A4D">
        <w:trPr>
          <w:jc w:val="center"/>
        </w:trPr>
        <w:tc>
          <w:tcPr>
            <w:tcW w:w="2472" w:type="dxa"/>
            <w:vAlign w:val="center"/>
          </w:tcPr>
          <w:p w14:paraId="35CD9AE5" w14:textId="77777777" w:rsidR="001E62B5" w:rsidRPr="005F024A" w:rsidRDefault="001E62B5" w:rsidP="00EB1A4D">
            <w:pPr>
              <w:rPr>
                <w:rFonts w:ascii="Times New Roman" w:hAnsi="Times New Roman"/>
              </w:rPr>
            </w:pPr>
          </w:p>
        </w:tc>
        <w:tc>
          <w:tcPr>
            <w:tcW w:w="2626" w:type="dxa"/>
            <w:vAlign w:val="center"/>
          </w:tcPr>
          <w:p w14:paraId="2BBC2593" w14:textId="77777777" w:rsidR="001E62B5" w:rsidRPr="005F024A" w:rsidRDefault="001E62B5" w:rsidP="00EB1A4D">
            <w:pPr>
              <w:rPr>
                <w:rFonts w:ascii="Times New Roman" w:hAnsi="Times New Roman"/>
              </w:rPr>
            </w:pPr>
          </w:p>
        </w:tc>
        <w:tc>
          <w:tcPr>
            <w:tcW w:w="2055" w:type="dxa"/>
            <w:vAlign w:val="center"/>
          </w:tcPr>
          <w:p w14:paraId="6BFA3ED5" w14:textId="77777777" w:rsidR="001E62B5" w:rsidRPr="005F024A" w:rsidRDefault="001E62B5" w:rsidP="00EB1A4D">
            <w:pPr>
              <w:rPr>
                <w:rFonts w:ascii="Times New Roman" w:hAnsi="Times New Roman"/>
              </w:rPr>
            </w:pPr>
          </w:p>
        </w:tc>
        <w:tc>
          <w:tcPr>
            <w:tcW w:w="1831" w:type="dxa"/>
            <w:vAlign w:val="center"/>
          </w:tcPr>
          <w:p w14:paraId="7A4967B0" w14:textId="77777777" w:rsidR="001E62B5" w:rsidRPr="005F024A" w:rsidRDefault="001E62B5" w:rsidP="00EB1A4D">
            <w:pPr>
              <w:rPr>
                <w:rFonts w:ascii="Times New Roman" w:hAnsi="Times New Roman"/>
              </w:rPr>
            </w:pPr>
          </w:p>
        </w:tc>
      </w:tr>
    </w:tbl>
    <w:p w14:paraId="5D39023D" w14:textId="77777777" w:rsidR="001E62B5" w:rsidRPr="005F024A" w:rsidRDefault="001E62B5" w:rsidP="001E62B5">
      <w:pPr>
        <w:rPr>
          <w:rFonts w:ascii="Times New Roman" w:hAnsi="Times New Roman"/>
        </w:rPr>
      </w:pPr>
    </w:p>
    <w:p w14:paraId="6F17CA94" w14:textId="77777777" w:rsidR="001E62B5" w:rsidRPr="0035727C" w:rsidRDefault="001E62B5" w:rsidP="001E62B5">
      <w:pPr>
        <w:widowControl w:val="0"/>
        <w:spacing w:before="120" w:after="120" w:line="240" w:lineRule="auto"/>
        <w:ind w:right="62"/>
        <w:jc w:val="both"/>
        <w:rPr>
          <w:rFonts w:ascii="Times New Roman" w:eastAsia="Times New Roman" w:hAnsi="Times New Roman"/>
          <w:b/>
          <w:color w:val="FF0000"/>
          <w:sz w:val="28"/>
          <w:szCs w:val="32"/>
        </w:rPr>
      </w:pPr>
      <w:r w:rsidRPr="0035727C">
        <w:rPr>
          <w:rFonts w:ascii="Times New Roman" w:eastAsia="Times New Roman" w:hAnsi="Times New Roman"/>
          <w:b/>
          <w:color w:val="2E75B5"/>
          <w:sz w:val="28"/>
          <w:szCs w:val="32"/>
        </w:rPr>
        <w:t xml:space="preserve">A. LİDERLİK, YÖNETİŞİM VE KALİTE </w:t>
      </w:r>
    </w:p>
    <w:p w14:paraId="7EC38998" w14:textId="77777777" w:rsidR="001E62B5" w:rsidRPr="005F024A" w:rsidRDefault="001E62B5" w:rsidP="001E62B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2E8299E9" w14:textId="77777777" w:rsidR="001E62B5" w:rsidRPr="005F024A" w:rsidRDefault="001E62B5" w:rsidP="001E62B5">
      <w:pPr>
        <w:widowControl w:val="0"/>
        <w:spacing w:after="0" w:line="360" w:lineRule="auto"/>
        <w:ind w:right="63"/>
        <w:jc w:val="both"/>
        <w:rPr>
          <w:rFonts w:ascii="Times New Roman" w:eastAsia="Times New Roman" w:hAnsi="Times New Roman"/>
          <w:sz w:val="24"/>
          <w:szCs w:val="24"/>
        </w:rPr>
      </w:pPr>
    </w:p>
    <w:p w14:paraId="635745B3" w14:textId="77777777" w:rsidR="001E62B5" w:rsidRPr="005F024A" w:rsidRDefault="001E62B5" w:rsidP="001E62B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2619DDDD" w14:textId="77777777" w:rsidR="001E62B5" w:rsidRPr="005F024A" w:rsidRDefault="001E62B5" w:rsidP="001E62B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49612819" w14:textId="77777777" w:rsidR="001E62B5" w:rsidRPr="005F024A" w:rsidRDefault="001E62B5" w:rsidP="001E62B5">
      <w:pPr>
        <w:widowControl w:val="0"/>
        <w:spacing w:after="0" w:line="240" w:lineRule="auto"/>
        <w:ind w:left="510" w:right="62" w:hanging="3"/>
        <w:jc w:val="both"/>
        <w:rPr>
          <w:rFonts w:ascii="Times New Roman" w:eastAsia="Times New Roman" w:hAnsi="Times New Roman"/>
          <w:noProof/>
          <w:color w:val="000000"/>
          <w:sz w:val="20"/>
          <w:szCs w:val="20"/>
        </w:rPr>
      </w:pPr>
    </w:p>
    <w:p w14:paraId="2F4C257E" w14:textId="77777777" w:rsidR="001E62B5" w:rsidRPr="005F024A" w:rsidRDefault="001E62B5" w:rsidP="001E62B5">
      <w:pPr>
        <w:widowControl w:val="0"/>
        <w:spacing w:after="0" w:line="360" w:lineRule="auto"/>
        <w:ind w:left="284" w:right="62" w:hanging="284"/>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.1.1. Yönetişim modeli ve idari yapı</w:t>
      </w:r>
    </w:p>
    <w:p w14:paraId="17472785" w14:textId="77777777" w:rsidR="001E62B5" w:rsidRPr="005F024A" w:rsidRDefault="001E62B5" w:rsidP="001E62B5">
      <w:pPr>
        <w:widowControl w:val="0"/>
        <w:numPr>
          <w:ilvl w:val="0"/>
          <w:numId w:val="5"/>
        </w:numPr>
        <w:spacing w:after="0" w:line="360" w:lineRule="auto"/>
        <w:ind w:left="426" w:right="62" w:hanging="284"/>
        <w:jc w:val="both"/>
        <w:rPr>
          <w:rFonts w:ascii="Times New Roman" w:hAnsi="Times New Roman"/>
        </w:rPr>
      </w:pPr>
      <w:r w:rsidRPr="005F024A">
        <w:rPr>
          <w:rFonts w:ascii="Times New Roman" w:hAnsi="Times New Roman"/>
        </w:rPr>
        <w:t xml:space="preserve">Yönetişim modeli ve organizasyon şeması </w:t>
      </w:r>
    </w:p>
    <w:p w14:paraId="1FC3DD81" w14:textId="77777777" w:rsidR="001E62B5" w:rsidRPr="005F024A" w:rsidRDefault="001E62B5" w:rsidP="001E62B5">
      <w:pPr>
        <w:widowControl w:val="0"/>
        <w:numPr>
          <w:ilvl w:val="0"/>
          <w:numId w:val="5"/>
        </w:numPr>
        <w:spacing w:after="0" w:line="360" w:lineRule="auto"/>
        <w:ind w:left="426" w:right="62" w:hanging="284"/>
        <w:jc w:val="both"/>
        <w:rPr>
          <w:rFonts w:ascii="Times New Roman" w:hAnsi="Times New Roman"/>
        </w:rPr>
      </w:pPr>
      <w:r w:rsidRPr="005F024A">
        <w:rPr>
          <w:rFonts w:ascii="Times New Roman" w:hAnsi="Times New Roman"/>
        </w:rPr>
        <w:t xml:space="preserve">Kurumun yönetişim ve idari alanlarla ilgili politikasını ve stratejik amaçlarını uyguladığına dair uygulamalar/kanıtlar </w:t>
      </w:r>
    </w:p>
    <w:p w14:paraId="38155C94" w14:textId="77777777" w:rsidR="001E62B5" w:rsidRPr="005F024A" w:rsidRDefault="001E62B5" w:rsidP="001E62B5">
      <w:pPr>
        <w:widowControl w:val="0"/>
        <w:numPr>
          <w:ilvl w:val="0"/>
          <w:numId w:val="5"/>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Yönetişim ve organizasyonel yapılanma uygulamalarına ilişkin izleme ve iyileştirme kanıtları</w:t>
      </w:r>
    </w:p>
    <w:p w14:paraId="268D74E1" w14:textId="77777777" w:rsidR="001E62B5" w:rsidRPr="005F024A" w:rsidRDefault="001E62B5" w:rsidP="001E62B5">
      <w:pPr>
        <w:widowControl w:val="0"/>
        <w:numPr>
          <w:ilvl w:val="0"/>
          <w:numId w:val="5"/>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BC9B0C9" w14:textId="77777777" w:rsidR="001E62B5" w:rsidRPr="005F024A" w:rsidRDefault="001E62B5" w:rsidP="001E62B5">
      <w:pPr>
        <w:widowControl w:val="0"/>
        <w:spacing w:after="0" w:line="360" w:lineRule="auto"/>
        <w:ind w:left="426" w:right="62" w:hanging="426"/>
        <w:jc w:val="both"/>
        <w:rPr>
          <w:rFonts w:ascii="Times New Roman" w:eastAsia="Times New Roman" w:hAnsi="Times New Roman"/>
          <w:b/>
          <w:i/>
          <w:sz w:val="24"/>
          <w:szCs w:val="24"/>
        </w:rPr>
      </w:pPr>
      <w:r>
        <w:rPr>
          <w:rFonts w:ascii="Times New Roman" w:eastAsia="Times New Roman" w:hAnsi="Times New Roman"/>
          <w:b/>
          <w:i/>
          <w:sz w:val="24"/>
          <w:szCs w:val="24"/>
        </w:rPr>
        <w:lastRenderedPageBreak/>
        <w:t>A</w:t>
      </w:r>
      <w:r w:rsidRPr="005F024A">
        <w:rPr>
          <w:rFonts w:ascii="Times New Roman" w:eastAsia="Times New Roman" w:hAnsi="Times New Roman"/>
          <w:b/>
          <w:i/>
          <w:sz w:val="24"/>
          <w:szCs w:val="24"/>
        </w:rPr>
        <w:t>.1.2. Liderlik</w:t>
      </w:r>
    </w:p>
    <w:p w14:paraId="238FC8B7"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 xml:space="preserve">Kurumun yöneticilerinin liderlik özelliklerini ve yetkinliklerini ölçmek ve izlemek için kullanılan yöntemler, elde edilen izleme sonuçları ve bağlı iyileştirmeler </w:t>
      </w:r>
    </w:p>
    <w:p w14:paraId="5E13E913"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 xml:space="preserve">Kurumdaki kalite kültürünün gelişimini ölçmek ve izlemek için kullanılan yöntemler, elde edilen izleme sonuçları ve bağlı iyileştirmeler </w:t>
      </w:r>
    </w:p>
    <w:p w14:paraId="3CE15A84" w14:textId="77777777" w:rsidR="001E62B5" w:rsidRPr="005F024A" w:rsidRDefault="001E62B5" w:rsidP="001E62B5">
      <w:pPr>
        <w:widowControl w:val="0"/>
        <w:numPr>
          <w:ilvl w:val="0"/>
          <w:numId w:val="6"/>
        </w:numPr>
        <w:spacing w:after="0" w:line="360" w:lineRule="auto"/>
        <w:ind w:left="426" w:right="62"/>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C5A40E9"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.1.3. Kurumsal dönüşüm kapasitesi</w:t>
      </w:r>
    </w:p>
    <w:p w14:paraId="1D790503"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1. Değişim yönetim modeli </w:t>
      </w:r>
    </w:p>
    <w:p w14:paraId="46C1F9D0"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2. Değişim planları, yol haritaları</w:t>
      </w:r>
    </w:p>
    <w:p w14:paraId="1A998378"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3. Yükseköğretim ekosisteminde ve temel fonksiyonları çevresinde meydana gelen değişime yönelik analiz raporları </w:t>
      </w:r>
    </w:p>
    <w:p w14:paraId="0E556372"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4. Gelecek senaryoları </w:t>
      </w:r>
    </w:p>
    <w:p w14:paraId="7CD4BF83"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5. Kıyaslama raporları </w:t>
      </w:r>
    </w:p>
    <w:p w14:paraId="08C40026"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6. Yenilik yönetim sistemi </w:t>
      </w:r>
    </w:p>
    <w:p w14:paraId="62467982"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7. Değişim ekipleri belgeleri </w:t>
      </w:r>
    </w:p>
    <w:p w14:paraId="44B069E9"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F024A">
        <w:rPr>
          <w:rFonts w:ascii="Times New Roman" w:hAnsi="Times New Roman"/>
        </w:rPr>
        <w:t>8. Standart uygulamalar ve mevzuatın yanı sıra kurumun ihtiyaçları doğrultusunda geliştirdiği özgün yaklaşım ve uygulamalarına ilişkin kanıtlar</w:t>
      </w:r>
    </w:p>
    <w:p w14:paraId="3EDBE8E2"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.1.4. İç kalite güvencesi mekanizmaları</w:t>
      </w:r>
    </w:p>
    <w:p w14:paraId="15820CC2"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1. Kalite güvencesi rehberi gibi tanımlı süreç belgeleri, Kalite Komisyonu çalışma usul ve esasları </w:t>
      </w:r>
    </w:p>
    <w:p w14:paraId="39301C1C"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2. İş akış şemaları, takvim, görev ve sorumluluklar ve paydaşların rollerini gösteren kanıtlar </w:t>
      </w:r>
    </w:p>
    <w:p w14:paraId="05B32967"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3. Bilgi Yönetim Sistemi </w:t>
      </w:r>
    </w:p>
    <w:p w14:paraId="454815FB"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4. Kurumsal Risk Yönetim Planı </w:t>
      </w:r>
    </w:p>
    <w:p w14:paraId="7980158C"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5. Geri bildirim yöntemleri </w:t>
      </w:r>
    </w:p>
    <w:p w14:paraId="41C7941F"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6. Paydaş katılımına ilişkin belgeler </w:t>
      </w:r>
    </w:p>
    <w:p w14:paraId="208A3145" w14:textId="77777777" w:rsidR="001E62B5" w:rsidRPr="005F024A" w:rsidRDefault="001E62B5" w:rsidP="001E62B5">
      <w:pPr>
        <w:widowControl w:val="0"/>
        <w:spacing w:after="0" w:line="360" w:lineRule="auto"/>
        <w:ind w:left="510" w:right="62" w:hanging="391"/>
        <w:jc w:val="both"/>
        <w:rPr>
          <w:rFonts w:ascii="Times New Roman" w:hAnsi="Times New Roman"/>
        </w:rPr>
      </w:pPr>
      <w:r w:rsidRPr="005F024A">
        <w:rPr>
          <w:rFonts w:ascii="Times New Roman" w:hAnsi="Times New Roman"/>
        </w:rPr>
        <w:t xml:space="preserve">7. Yıllık izleme ve iyileştirme raporları </w:t>
      </w:r>
    </w:p>
    <w:p w14:paraId="7090ECE5"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F024A">
        <w:rPr>
          <w:rFonts w:ascii="Times New Roman" w:hAnsi="Times New Roman"/>
        </w:rPr>
        <w:t>8. Standart uygulamalar ve mevzuatın yanı sıra kurumun ihtiyaçları doğrultusunda geliştirdiği özgün yaklaşım ve uygulamalarına ilişkin kanıtlar</w:t>
      </w:r>
    </w:p>
    <w:p w14:paraId="02DCFC50"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.1.5. Kamuoyunu bilgilendirme ve hesap verebilirlik</w:t>
      </w:r>
    </w:p>
    <w:p w14:paraId="72C84AEC"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Kamuoyunu bilgilendirme ve hesap verebilirlik ile ilişkili olarak benimsenen ilke, kural, yöntemler ve bilgilendirme adımlarının ilan edildiğini gösteren kanıtlar </w:t>
      </w:r>
    </w:p>
    <w:p w14:paraId="08EF32FB"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Kurumun/birimlerin internet sayfalarının güncel ve erişilebilir olduğuna dair kanıtlar </w:t>
      </w:r>
    </w:p>
    <w:p w14:paraId="5B83794F"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Kurum içi ve dışı hesap verebilirlik tanımlı süreçlerinin uygulanmakta olduğunu gösteren kanıtlar </w:t>
      </w:r>
    </w:p>
    <w:p w14:paraId="5DD1B965"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İç ve dış paydaşların kamuoyunu bilgilendirme ve hesap verebilirlikle ilgili memnuniyeti ve geri bildirimleri </w:t>
      </w:r>
    </w:p>
    <w:p w14:paraId="51C22E88"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 xml:space="preserve">Kamuoyunu bilgilendirme ve hesap verebilirlik mekanizmalarına ilişkin izleme ve iyileştirme </w:t>
      </w:r>
      <w:r w:rsidRPr="005F024A">
        <w:rPr>
          <w:rFonts w:ascii="Times New Roman" w:hAnsi="Times New Roman"/>
        </w:rPr>
        <w:lastRenderedPageBreak/>
        <w:t xml:space="preserve">kanıtları </w:t>
      </w:r>
    </w:p>
    <w:p w14:paraId="21800541" w14:textId="77777777" w:rsidR="001E62B5" w:rsidRPr="005F024A" w:rsidRDefault="001E62B5" w:rsidP="001E62B5">
      <w:pPr>
        <w:widowControl w:val="0"/>
        <w:numPr>
          <w:ilvl w:val="0"/>
          <w:numId w:val="7"/>
        </w:numPr>
        <w:spacing w:after="0" w:line="360" w:lineRule="auto"/>
        <w:ind w:left="426" w:right="62" w:hanging="284"/>
        <w:jc w:val="both"/>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7564D07"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54D5EB25" w14:textId="77777777" w:rsidR="001E62B5" w:rsidRPr="00B02E0D" w:rsidRDefault="001E62B5" w:rsidP="001E62B5">
      <w:pPr>
        <w:spacing w:before="80" w:after="80" w:line="288" w:lineRule="auto"/>
        <w:ind w:left="426"/>
        <w:jc w:val="both"/>
        <w:rPr>
          <w:rFonts w:ascii="Times New Roman" w:hAnsi="Times New Roman"/>
        </w:rPr>
      </w:pPr>
      <w:r w:rsidRPr="00B02E0D">
        <w:rPr>
          <w:rFonts w:ascii="Times New Roman" w:hAnsi="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2DAACFF8"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.2.1. Misyon, vizyon ve politikalar</w:t>
      </w:r>
    </w:p>
    <w:p w14:paraId="0CF93BA8"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Misyon ve vizyon </w:t>
      </w:r>
    </w:p>
    <w:p w14:paraId="50725859"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 (Eğitim ve öğretim politika belgesi uzaktan eğitimi de içermelidir) </w:t>
      </w:r>
    </w:p>
    <w:p w14:paraId="4DB430A3"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belgelerinin ilgili paydaş katılımıyla hazırlandığını kanıtlayan belgeler </w:t>
      </w:r>
    </w:p>
    <w:p w14:paraId="14BAC30C"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 belgelerinde bütüncül ilişkiyi gösteren ifadeler ve uygulama örnekleri (Eğitim programlarında araştırma vurgusu, araştırma süreçlerinde topluma hizmet vurgusu, uzaktan eğitim vurgusu) </w:t>
      </w:r>
    </w:p>
    <w:p w14:paraId="5BD95110"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Politikaların izlendiğine ve değerlendirildiğine ilişkin kanıtlar </w:t>
      </w:r>
    </w:p>
    <w:p w14:paraId="3B07CB5F" w14:textId="77777777" w:rsidR="001E62B5" w:rsidRPr="005F024A" w:rsidRDefault="001E62B5" w:rsidP="001E62B5">
      <w:pPr>
        <w:numPr>
          <w:ilvl w:val="0"/>
          <w:numId w:val="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511DF51"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.2.2. Stratejik amaç ve hedefler</w:t>
      </w:r>
    </w:p>
    <w:p w14:paraId="09B0FE2C"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Kamuoyuna ilan edilmiş, kurumun stratejik amaç ve hedeflerini içeren </w:t>
      </w:r>
      <w:proofErr w:type="gramStart"/>
      <w:r w:rsidRPr="005F024A">
        <w:rPr>
          <w:rFonts w:ascii="Times New Roman" w:hAnsi="Times New Roman"/>
        </w:rPr>
        <w:t>doküman</w:t>
      </w:r>
      <w:proofErr w:type="gramEnd"/>
      <w:r w:rsidRPr="005F024A">
        <w:rPr>
          <w:rFonts w:ascii="Times New Roman" w:hAnsi="Times New Roman"/>
        </w:rPr>
        <w:t xml:space="preserve"> (stratejik plan, strateji belgesi vb.) ve dokümanın geliştirilme süreci </w:t>
      </w:r>
    </w:p>
    <w:p w14:paraId="661385FE"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Kurumun stratejik planına planlama, uygulama, kontrol etme ve önlem alma aşamalarında iç ve dış paydaş katılımını gösteren kanıtlar </w:t>
      </w:r>
    </w:p>
    <w:p w14:paraId="16086154"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plan ve hedeflerin, Birleşmiş Milletler Sürdürülebilir Kalkınma </w:t>
      </w:r>
      <w:proofErr w:type="spellStart"/>
      <w:r w:rsidRPr="005F024A">
        <w:rPr>
          <w:rFonts w:ascii="Times New Roman" w:hAnsi="Times New Roman"/>
        </w:rPr>
        <w:t>Amaçları’yla</w:t>
      </w:r>
      <w:proofErr w:type="spellEnd"/>
      <w:r w:rsidRPr="005F024A">
        <w:rPr>
          <w:rFonts w:ascii="Times New Roman" w:hAnsi="Times New Roman"/>
        </w:rPr>
        <w:t xml:space="preserve"> uyumunu gösteren kanıtlar </w:t>
      </w:r>
    </w:p>
    <w:p w14:paraId="5A8A9740"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Planda yer alan göstergelerin yıllık gerçekleşme takibini ve iyileştirme önerilerini içeren performans raporları </w:t>
      </w:r>
    </w:p>
    <w:p w14:paraId="11D953E2"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 xml:space="preserve">Stratejik amaçlar ve hedefler kapsamında paydaşlardan gelen talep, </w:t>
      </w:r>
      <w:proofErr w:type="gramStart"/>
      <w:r w:rsidRPr="005F024A">
        <w:rPr>
          <w:rFonts w:ascii="Times New Roman" w:hAnsi="Times New Roman"/>
        </w:rPr>
        <w:t>şikayet</w:t>
      </w:r>
      <w:proofErr w:type="gramEnd"/>
      <w:r w:rsidRPr="005F024A">
        <w:rPr>
          <w:rFonts w:ascii="Times New Roman" w:hAnsi="Times New Roman"/>
        </w:rPr>
        <w:t xml:space="preserve"> vb. kapsayacak şekilde uygulamaların sonuçlarını analiz eden iyileştirme raporları </w:t>
      </w:r>
    </w:p>
    <w:p w14:paraId="5973D294" w14:textId="77777777" w:rsidR="001E62B5" w:rsidRPr="005F024A" w:rsidRDefault="001E62B5" w:rsidP="001E62B5">
      <w:pPr>
        <w:numPr>
          <w:ilvl w:val="0"/>
          <w:numId w:val="9"/>
        </w:numPr>
        <w:spacing w:before="80" w:after="80" w:line="288" w:lineRule="auto"/>
        <w:ind w:left="426" w:hanging="284"/>
        <w:jc w:val="both"/>
        <w:rPr>
          <w:rFonts w:ascii="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B624A90"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.2.3. Performans yönetimi</w:t>
      </w:r>
    </w:p>
    <w:p w14:paraId="14D34524"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yönetim prosedürlerine dair belgeler </w:t>
      </w:r>
    </w:p>
    <w:p w14:paraId="08102CDB"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göstergeleri ve anahtar performans göstergeleri • Performans yönetimi sürecinin nasıl işlediğini gösteren kanıtlar </w:t>
      </w:r>
    </w:p>
    <w:p w14:paraId="6F957891"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programı raporu </w:t>
      </w:r>
    </w:p>
    <w:p w14:paraId="543F368E"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Performans yönetimi mekanizmalarının izlendiğine ve iyileştirildiğine dair kanıtlar </w:t>
      </w:r>
    </w:p>
    <w:p w14:paraId="181CC45F" w14:textId="77777777" w:rsidR="001E62B5" w:rsidRPr="005F024A" w:rsidRDefault="001E62B5" w:rsidP="001E62B5">
      <w:pPr>
        <w:numPr>
          <w:ilvl w:val="0"/>
          <w:numId w:val="10"/>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2A641BC" w14:textId="77777777" w:rsidR="001E62B5" w:rsidRPr="005F024A" w:rsidRDefault="001E62B5" w:rsidP="001E62B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5F349F3D"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lastRenderedPageBreak/>
        <w:t>Kurum, stratejik hedeflerine ulaşmayı nitelik ve nicelik olarak güvence altına almak amacıyla mali, beşerî ve bilgi kaynakları ile süreçlerini yönetmek üzere bir sisteme sahip olmalıdır.</w:t>
      </w:r>
    </w:p>
    <w:p w14:paraId="00CDCE1E"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.3.1. Bilgi yönetim sistemi</w:t>
      </w:r>
    </w:p>
    <w:p w14:paraId="7268F809"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Yönetim Sistemi ve bu sistemin fonksiyonlarına ilişkin kanıtlar </w:t>
      </w:r>
    </w:p>
    <w:p w14:paraId="400078BE"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Kişisel Verilerin İşlenmesine yönelik süreçler ve uygulamalar </w:t>
      </w:r>
    </w:p>
    <w:p w14:paraId="6D24DF9F"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Yönetim Sistemi’nin izlenmesi ve iyileştirilmesine ilişkin kanıtlar </w:t>
      </w:r>
    </w:p>
    <w:p w14:paraId="3AA3C55B"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Bilgi güvenliğini ve güvenirliğini sağlamaya yönelik süreçler ve uygulamalar </w:t>
      </w:r>
    </w:p>
    <w:p w14:paraId="37D711CB"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Siber tehditlere yönelik risk, sızma testleri ve bağlı iyileştirmeler </w:t>
      </w:r>
    </w:p>
    <w:p w14:paraId="50D27B80" w14:textId="77777777" w:rsidR="001E62B5" w:rsidRPr="005F024A" w:rsidRDefault="001E62B5" w:rsidP="001E62B5">
      <w:pPr>
        <w:numPr>
          <w:ilvl w:val="0"/>
          <w:numId w:val="11"/>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5D8C6C6"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.3.2. İnsan kaynakları yönetimi</w:t>
      </w:r>
    </w:p>
    <w:p w14:paraId="584E7BA3"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İnsan kaynakları politikası ve hedefleri ve bunlara ilişkin uygulamalar (Yetkinlik, işe alınma, hizmet içi eğitim, teşvik ve ödüllendirme vb.) </w:t>
      </w:r>
    </w:p>
    <w:p w14:paraId="55E9F0A8"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Çalışan (akademik ve idari) memnuniyeti anketleri, uygulama sistematiği ve anket sonuçları </w:t>
      </w:r>
    </w:p>
    <w:p w14:paraId="0AC25213"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İnsan kaynakları yönetimi uygulamalarına ilişkin izleme ve iyileştirme kanıtları </w:t>
      </w:r>
    </w:p>
    <w:p w14:paraId="5BD34BBD" w14:textId="77777777" w:rsidR="001E62B5" w:rsidRPr="005F024A" w:rsidRDefault="001E62B5" w:rsidP="001E62B5">
      <w:pPr>
        <w:numPr>
          <w:ilvl w:val="0"/>
          <w:numId w:val="12"/>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540D6B46"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.3.3. Finansal yönetim</w:t>
      </w:r>
    </w:p>
    <w:p w14:paraId="21D93F90"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yönetimine ilişkin tanımlı süreçler ve uygulamalar (Kaynak dağılımı, kaynakların etkin ve verimli kullanılması, kaynak çeşitliliği) </w:t>
      </w:r>
    </w:p>
    <w:p w14:paraId="266836B4"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planlama, kullanım ve izleme uygulamalarının kurumun stratejik planı ile uyumunu gösteren belgeler </w:t>
      </w:r>
    </w:p>
    <w:p w14:paraId="0707647F"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 xml:space="preserve">Finansal kaynakların yönetimi süreçlerine ilişkin izleme raporları ve analizleri ve iyileştirme kanıtları </w:t>
      </w:r>
    </w:p>
    <w:p w14:paraId="41A70C17" w14:textId="77777777" w:rsidR="001E62B5" w:rsidRPr="005F024A" w:rsidRDefault="001E62B5" w:rsidP="001E62B5">
      <w:pPr>
        <w:numPr>
          <w:ilvl w:val="0"/>
          <w:numId w:val="13"/>
        </w:numPr>
        <w:spacing w:before="80" w:after="80" w:line="288" w:lineRule="auto"/>
        <w:ind w:left="426" w:hanging="284"/>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4087B1C9" w14:textId="77777777" w:rsidR="001E62B5" w:rsidRPr="005F024A" w:rsidRDefault="001E62B5" w:rsidP="001E62B5">
      <w:pPr>
        <w:spacing w:before="80" w:after="80" w:line="288" w:lineRule="auto"/>
        <w:ind w:firstLine="284"/>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 xml:space="preserve">.3.4. Süreç yönetimi </w:t>
      </w:r>
    </w:p>
    <w:p w14:paraId="30BC4749"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 modeli ve/veya Süreç Yönetimi El Kitabı </w:t>
      </w:r>
    </w:p>
    <w:p w14:paraId="42077823"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Kılavuzları ve Süreç </w:t>
      </w:r>
      <w:proofErr w:type="spellStart"/>
      <w:r w:rsidRPr="005F024A">
        <w:rPr>
          <w:rFonts w:ascii="Times New Roman" w:hAnsi="Times New Roman"/>
        </w:rPr>
        <w:t>Sorumluluları</w:t>
      </w:r>
      <w:proofErr w:type="spellEnd"/>
      <w:r w:rsidRPr="005F024A">
        <w:rPr>
          <w:rFonts w:ascii="Times New Roman" w:hAnsi="Times New Roman"/>
        </w:rPr>
        <w:t xml:space="preserve"> Eğitim Belgeleri </w:t>
      </w:r>
    </w:p>
    <w:p w14:paraId="3398AE88"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yönetimi uygulamaları (Uzaktan eğitim dahil) </w:t>
      </w:r>
    </w:p>
    <w:p w14:paraId="036C6CC1"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Paydaş katılımına ilişkin kanıtlar </w:t>
      </w:r>
    </w:p>
    <w:p w14:paraId="7194D751"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 xml:space="preserve">Süreç yönetim mekanizmalarının izlenmesi ve iyileştirilmesine ilişkin kanıtlar </w:t>
      </w:r>
    </w:p>
    <w:p w14:paraId="761528E5" w14:textId="77777777" w:rsidR="001E62B5" w:rsidRPr="005F024A" w:rsidRDefault="001E62B5" w:rsidP="001E62B5">
      <w:pPr>
        <w:numPr>
          <w:ilvl w:val="0"/>
          <w:numId w:val="14"/>
        </w:numPr>
        <w:spacing w:before="80" w:after="80" w:line="288" w:lineRule="auto"/>
        <w:ind w:left="426" w:hanging="284"/>
        <w:rPr>
          <w:rFonts w:ascii="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4CEDDBE" w14:textId="77777777" w:rsidR="001E62B5" w:rsidRPr="005F024A" w:rsidRDefault="001E62B5" w:rsidP="001E62B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2F1D81F0"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 xml:space="preserve">Kurum, iç ve dış paydaşlarının stratejik kararlara ve süreçlere katılımını sağlamak üzere geri bildirimlerini almak, yanıtlamak ve kararlarında kullanmak için gerekli sistemleri oluşturmalı ve </w:t>
      </w:r>
      <w:r w:rsidRPr="005F024A">
        <w:rPr>
          <w:rFonts w:ascii="Times New Roman" w:hAnsi="Times New Roman"/>
        </w:rPr>
        <w:lastRenderedPageBreak/>
        <w:t>yönetmelidir.</w:t>
      </w:r>
    </w:p>
    <w:p w14:paraId="1A0EABB5"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.4.1. İç ve dış paydaş katılımı</w:t>
      </w:r>
    </w:p>
    <w:p w14:paraId="3FDDF839"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Kurumun süreçlerine özgü oluşturulmuş iç ve dış paydaş listesi ile paydaşların önceliklendirilmesine ilişkin kanıtlar </w:t>
      </w:r>
    </w:p>
    <w:p w14:paraId="418888C2"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Paydaş görüşlerinin alınması sürecinde kullanılan veri toplama araçları ve yöntemi (Anketler, odak grup toplantıları, çalıştaylar, bilgi yönetim sistemi vb.) </w:t>
      </w:r>
    </w:p>
    <w:p w14:paraId="2DF36374"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Karar alma süreçlerinde paydaş katılımının sağlandığını gösteren belgeler </w:t>
      </w:r>
    </w:p>
    <w:p w14:paraId="6D3B1EF9"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Paydaş katılım mekanizmalarının işleyişine ilişkin izleme ve iyileştirme kanıtları </w:t>
      </w:r>
    </w:p>
    <w:p w14:paraId="10201B64" w14:textId="77777777" w:rsidR="001E62B5" w:rsidRPr="005F024A" w:rsidRDefault="001E62B5" w:rsidP="001E62B5">
      <w:pPr>
        <w:numPr>
          <w:ilvl w:val="0"/>
          <w:numId w:val="15"/>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AC77237"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.4.2. Öğrenci geri bildirimleri</w:t>
      </w:r>
    </w:p>
    <w:p w14:paraId="10758C3D"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bildirimi elde etmeye ilişkin ilke ve kurallar </w:t>
      </w:r>
    </w:p>
    <w:p w14:paraId="0891B4FD"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Tanımlı öğrenci geri bildirim mekanizmalarının tür, yöntem ve çeşitliliğini gösteren kanıtlar (Uzaktan/karma eğitim dahil) </w:t>
      </w:r>
    </w:p>
    <w:p w14:paraId="58D9038F"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bildirimleri kapsamında gerçekleştirilen iyileştirmelere ilişkin uygulamalar </w:t>
      </w:r>
    </w:p>
    <w:p w14:paraId="186A60E4"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Öğrencilerin karar alma mekanizmalarına katılımı örnekleri </w:t>
      </w:r>
    </w:p>
    <w:p w14:paraId="4413B96F"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Öğrenci geri bildirim mekanizmasının izlenmesi ve iyileştirilmesine yönelik kanıtlar </w:t>
      </w:r>
    </w:p>
    <w:p w14:paraId="43BDB06A" w14:textId="77777777" w:rsidR="001E62B5" w:rsidRPr="005F024A" w:rsidRDefault="001E62B5" w:rsidP="001E62B5">
      <w:pPr>
        <w:numPr>
          <w:ilvl w:val="0"/>
          <w:numId w:val="16"/>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5F25AB39"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.4.3. Mezun ilişkileri yönetimi</w:t>
      </w:r>
    </w:p>
    <w:p w14:paraId="432685F2"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izleme sisteminin özellikleri </w:t>
      </w:r>
    </w:p>
    <w:p w14:paraId="37ED5F65"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Mezunların sahip olduğu yeterlilikler ve programın amaç ve hedeflerine ulaşılmasına ilişkin memnuniyet düzeyi </w:t>
      </w:r>
    </w:p>
    <w:p w14:paraId="28716E4C"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izleme sistemi kapsamında programlarda gerçekleştirilen güncelleme çalışmaları </w:t>
      </w:r>
    </w:p>
    <w:p w14:paraId="22A133D3"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Mezun geri bildirimler </w:t>
      </w:r>
    </w:p>
    <w:p w14:paraId="1D4DF3CE" w14:textId="77777777" w:rsidR="001E62B5" w:rsidRPr="005F024A" w:rsidRDefault="001E62B5" w:rsidP="001E62B5">
      <w:pPr>
        <w:numPr>
          <w:ilvl w:val="0"/>
          <w:numId w:val="17"/>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528EEA9F" w14:textId="77777777" w:rsidR="001E62B5" w:rsidRPr="005F024A" w:rsidRDefault="001E62B5" w:rsidP="001E62B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4FCBA5DC" w14:textId="77777777" w:rsidR="001E62B5" w:rsidRPr="005F024A" w:rsidRDefault="001E62B5" w:rsidP="001E62B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14:paraId="52A6C96E"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.5.1. Uluslararasılaşma süreçlerinin yönetimi</w:t>
      </w:r>
    </w:p>
    <w:p w14:paraId="638A5900"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süreçlerinin yönetimi ve organizasyonel yapısı </w:t>
      </w:r>
    </w:p>
    <w:p w14:paraId="4D853F3F"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süreçlerinin yönetimine ilişkin uygulama kanıtları </w:t>
      </w:r>
    </w:p>
    <w:p w14:paraId="0BD84375"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Yönetim ve organizasyonel yapıya ilişkin izleme ve iyileştirme kanıtları </w:t>
      </w:r>
    </w:p>
    <w:p w14:paraId="02A0A4BE" w14:textId="77777777" w:rsidR="001E62B5" w:rsidRPr="005F024A" w:rsidRDefault="001E62B5" w:rsidP="001E62B5">
      <w:pPr>
        <w:numPr>
          <w:ilvl w:val="0"/>
          <w:numId w:val="18"/>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7DCBA34" w14:textId="77777777" w:rsidR="001E62B5" w:rsidRPr="005F024A" w:rsidRDefault="001E62B5" w:rsidP="001E62B5">
      <w:pPr>
        <w:spacing w:before="80" w:after="80" w:line="288" w:lineRule="auto"/>
        <w:ind w:firstLine="284"/>
        <w:jc w:val="both"/>
        <w:rPr>
          <w:rFonts w:ascii="Times New Roman" w:hAnsi="Times New Roman"/>
          <w:b/>
          <w:i/>
          <w:sz w:val="24"/>
          <w:szCs w:val="24"/>
        </w:rPr>
      </w:pPr>
      <w:r>
        <w:rPr>
          <w:rFonts w:ascii="Times New Roman" w:hAnsi="Times New Roman"/>
          <w:b/>
          <w:i/>
          <w:sz w:val="24"/>
          <w:szCs w:val="24"/>
        </w:rPr>
        <w:lastRenderedPageBreak/>
        <w:t>A</w:t>
      </w:r>
      <w:r w:rsidRPr="005F024A">
        <w:rPr>
          <w:rFonts w:ascii="Times New Roman" w:hAnsi="Times New Roman"/>
          <w:b/>
          <w:i/>
          <w:sz w:val="24"/>
          <w:szCs w:val="24"/>
        </w:rPr>
        <w:t>.5.2. Uluslararasılaşma kaynakları</w:t>
      </w:r>
    </w:p>
    <w:p w14:paraId="19E04B0A"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Kurumun uluslararasılaşma faaliyetlerini sürdürebilmesine yönelik kaynakların planlama kanıtları </w:t>
      </w:r>
    </w:p>
    <w:p w14:paraId="4CAB8990"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 çalışmalar için ayrılan kaynaklarının yönetimine ilişkin belgeler (Erasmus vb. bütçelerin kulanım oranı, AB proje bütçelerinin yönetimi ve ikili protokoller kapsamında gerçekleşen kaynakların yönetimine ilişkin belgeler gibi) </w:t>
      </w:r>
    </w:p>
    <w:p w14:paraId="6BC9255D"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 xml:space="preserve">Uluslararasılaşma kaynakların dağılımının izlenmesi ve iyileştirilmesine ilişkin kanıtlar </w:t>
      </w:r>
    </w:p>
    <w:p w14:paraId="1EAB48A3" w14:textId="77777777" w:rsidR="001E62B5" w:rsidRPr="005F024A" w:rsidRDefault="001E62B5" w:rsidP="001E62B5">
      <w:pPr>
        <w:numPr>
          <w:ilvl w:val="0"/>
          <w:numId w:val="19"/>
        </w:numPr>
        <w:spacing w:before="80" w:after="80" w:line="288" w:lineRule="auto"/>
        <w:ind w:left="426" w:hanging="284"/>
        <w:jc w:val="both"/>
        <w:rPr>
          <w:rFonts w:ascii="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2C0E65C4" w14:textId="77777777" w:rsidR="001E62B5" w:rsidRPr="005F024A" w:rsidRDefault="001E62B5" w:rsidP="001E62B5">
      <w:pPr>
        <w:widowControl w:val="0"/>
        <w:spacing w:after="0" w:line="360" w:lineRule="auto"/>
        <w:ind w:left="510" w:right="62" w:hanging="391"/>
        <w:jc w:val="both"/>
        <w:rPr>
          <w:rFonts w:ascii="Times New Roman" w:hAnsi="Times New Roman"/>
          <w:b/>
          <w:i/>
          <w:sz w:val="24"/>
          <w:szCs w:val="24"/>
        </w:rPr>
      </w:pPr>
      <w:r w:rsidRPr="005F024A">
        <w:rPr>
          <w:rFonts w:ascii="Times New Roman" w:hAnsi="Times New Roman"/>
          <w:b/>
          <w:i/>
          <w:sz w:val="24"/>
          <w:szCs w:val="24"/>
        </w:rPr>
        <w:t xml:space="preserve">  </w:t>
      </w:r>
      <w:r>
        <w:rPr>
          <w:rFonts w:ascii="Times New Roman" w:hAnsi="Times New Roman"/>
          <w:b/>
          <w:i/>
          <w:sz w:val="24"/>
          <w:szCs w:val="24"/>
        </w:rPr>
        <w:t>A</w:t>
      </w:r>
      <w:r w:rsidRPr="005F024A">
        <w:rPr>
          <w:rFonts w:ascii="Times New Roman" w:hAnsi="Times New Roman"/>
          <w:b/>
          <w:i/>
          <w:sz w:val="24"/>
          <w:szCs w:val="24"/>
        </w:rPr>
        <w:t>.5.3. Uluslararasılaşma performansı</w:t>
      </w:r>
    </w:p>
    <w:p w14:paraId="3F62CDCB"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Stratejik plan ve uluslararasılaşma politikasına ilişkin performans göstergeleri </w:t>
      </w:r>
    </w:p>
    <w:p w14:paraId="4C7DCA6C"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faaliyetleri (Uluslararası kapsamda düzenlediği toplantılar, katılım sağladığı programlar, protokoller kapsamında faaliyetler vb.) </w:t>
      </w:r>
    </w:p>
    <w:p w14:paraId="10CB7DBC"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hedeflerine ulaşılıp ulaşılmadığını izlemek üzere oluşturulan mekanizmalar </w:t>
      </w:r>
    </w:p>
    <w:p w14:paraId="69A3495F"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 xml:space="preserve">Uluslararasılaşma süreçlerine ilişkin yıllık öz değerlendirme raporları ve iyileştirme çalışmaları </w:t>
      </w:r>
    </w:p>
    <w:p w14:paraId="3842A491" w14:textId="77777777" w:rsidR="001E62B5" w:rsidRPr="005F024A" w:rsidRDefault="001E62B5" w:rsidP="001E62B5">
      <w:pPr>
        <w:widowControl w:val="0"/>
        <w:numPr>
          <w:ilvl w:val="0"/>
          <w:numId w:val="20"/>
        </w:numPr>
        <w:spacing w:after="0" w:line="360" w:lineRule="auto"/>
        <w:ind w:left="426" w:right="62" w:hanging="284"/>
        <w:jc w:val="both"/>
        <w:rPr>
          <w:rFonts w:ascii="Times New Roman" w:eastAsia="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FB02D75" w14:textId="77777777" w:rsidR="001E62B5" w:rsidRPr="005F024A" w:rsidRDefault="001E62B5" w:rsidP="001E62B5">
      <w:pPr>
        <w:widowControl w:val="0"/>
        <w:spacing w:before="120" w:after="120" w:line="240" w:lineRule="auto"/>
        <w:ind w:right="62"/>
        <w:jc w:val="both"/>
        <w:rPr>
          <w:rFonts w:ascii="Times New Roman" w:eastAsia="Times New Roman" w:hAnsi="Times New Roman"/>
          <w:color w:val="FF0000"/>
          <w:sz w:val="32"/>
          <w:szCs w:val="32"/>
        </w:rPr>
      </w:pP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54CCD917" w14:textId="77777777" w:rsidR="001E62B5" w:rsidRPr="005F024A" w:rsidRDefault="001E62B5" w:rsidP="001E62B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51B11D4C"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i/>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p w14:paraId="12BDD390" w14:textId="77777777" w:rsidR="001E62B5" w:rsidRPr="00AC5BE4" w:rsidRDefault="001E62B5" w:rsidP="001E62B5">
      <w:pPr>
        <w:widowControl w:val="0"/>
        <w:pBdr>
          <w:top w:val="nil"/>
          <w:left w:val="nil"/>
          <w:bottom w:val="nil"/>
          <w:right w:val="nil"/>
          <w:between w:val="nil"/>
        </w:pBdr>
        <w:spacing w:after="0"/>
        <w:ind w:right="63"/>
        <w:jc w:val="both"/>
        <w:rPr>
          <w:rFonts w:ascii="Times New Roman" w:hAnsi="Times New Roman"/>
          <w:b/>
          <w:i/>
          <w:color w:val="000000"/>
          <w:sz w:val="24"/>
        </w:rPr>
      </w:pPr>
      <w:r w:rsidRPr="00AC5BE4">
        <w:rPr>
          <w:rFonts w:ascii="Times New Roman" w:hAnsi="Times New Roman"/>
          <w:b/>
          <w:i/>
          <w:color w:val="000000"/>
          <w:sz w:val="24"/>
        </w:rPr>
        <w:t xml:space="preserve">B.1.1. </w:t>
      </w:r>
      <w:r w:rsidRPr="00AC5BE4">
        <w:rPr>
          <w:rFonts w:ascii="Times New Roman" w:eastAsia="Times New Roman" w:hAnsi="Times New Roman"/>
          <w:b/>
          <w:i/>
          <w:color w:val="000000"/>
          <w:sz w:val="24"/>
        </w:rPr>
        <w:t>Program tasarımı ve onayı</w:t>
      </w:r>
    </w:p>
    <w:p w14:paraId="176A04D2"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tasarımı ve onayı için kullanılan tanımlı süreçler (Eğitim politikasıyla uyumu, el kitabı, kılavuz, usul ve esas vb.) </w:t>
      </w:r>
    </w:p>
    <w:p w14:paraId="5947A708"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tasarımı ve onayı süreçlerinin yönetsel ve organizasyonel yapısı (Komisyonlar, süreç sorumluları, süreç akışı vb.) </w:t>
      </w:r>
    </w:p>
    <w:p w14:paraId="2CDFC755"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amaç ve çıktılarının TYÇ ile uyumunu gösteren kanıtlar (ders program örnekleri, güncel ders izlence örnekleri vb.) </w:t>
      </w:r>
    </w:p>
    <w:p w14:paraId="1FEED129"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Uzaktan-karma program tasarımında bölüm/alan bazlı uygulama çeşitliliğine ilişkin kanıtlar (bölümlerin farklı uzaktan eğitim taleplerinin dikkate alındığına ilişkin kanıtlar vb.) </w:t>
      </w:r>
    </w:p>
    <w:p w14:paraId="27DADE19"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 tasarım süreçlerine paydaş katılımını gösteren kanıtlar </w:t>
      </w:r>
    </w:p>
    <w:p w14:paraId="12873482" w14:textId="77777777" w:rsidR="001E62B5" w:rsidRPr="005F024A"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Programların tasarım ve onay sürecinin izlendiği ve buna göre yapılan iyileştirilmelere ilişkin kanıtlar </w:t>
      </w:r>
    </w:p>
    <w:p w14:paraId="67F62761" w14:textId="77777777" w:rsidR="001E62B5" w:rsidRPr="00AC5BE4" w:rsidRDefault="001E62B5" w:rsidP="001E62B5">
      <w:pPr>
        <w:widowControl w:val="0"/>
        <w:numPr>
          <w:ilvl w:val="0"/>
          <w:numId w:val="2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6951B15E" w14:textId="77777777" w:rsidR="001E62B5" w:rsidRDefault="001E62B5" w:rsidP="001E62B5">
      <w:pPr>
        <w:widowControl w:val="0"/>
        <w:pBdr>
          <w:top w:val="nil"/>
          <w:left w:val="nil"/>
          <w:bottom w:val="nil"/>
          <w:right w:val="nil"/>
          <w:between w:val="nil"/>
        </w:pBdr>
        <w:spacing w:after="0"/>
        <w:ind w:right="63"/>
        <w:jc w:val="both"/>
        <w:rPr>
          <w:rFonts w:ascii="Times New Roman" w:eastAsia="CamberW04-Regular" w:hAnsi="Times New Roman"/>
          <w:b/>
          <w:i/>
        </w:rPr>
      </w:pPr>
    </w:p>
    <w:p w14:paraId="7E0E4A06"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CamberW04-Regular" w:hAnsi="Times New Roman"/>
          <w:b/>
          <w:i/>
        </w:rPr>
      </w:pPr>
      <w:r>
        <w:rPr>
          <w:rFonts w:ascii="Times New Roman" w:eastAsia="CamberW04-Regular" w:hAnsi="Times New Roman"/>
          <w:b/>
          <w:i/>
        </w:rPr>
        <w:t>B</w:t>
      </w:r>
      <w:r w:rsidRPr="005F024A">
        <w:rPr>
          <w:rFonts w:ascii="Times New Roman" w:eastAsia="CamberW04-Regular" w:hAnsi="Times New Roman"/>
          <w:b/>
          <w:i/>
        </w:rPr>
        <w:t>.1.2. Programın ders dağılım dengesi</w:t>
      </w:r>
    </w:p>
    <w:p w14:paraId="053AB115"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Ders dağılımına ilişkin ilke ve yöntemler ile buna ilişkin kanıtlar </w:t>
      </w:r>
    </w:p>
    <w:p w14:paraId="37A8317F"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İlan edilmiş ders bilgi paketlerinde ders dağılım dengesinin gözetildiğine ilişkin kanıtlar </w:t>
      </w:r>
    </w:p>
    <w:p w14:paraId="4A7F97D3"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Eğitim komisyonu kararı, senato kararları </w:t>
      </w:r>
      <w:proofErr w:type="spellStart"/>
      <w:r w:rsidRPr="005F024A">
        <w:rPr>
          <w:rFonts w:ascii="Times New Roman" w:hAnsi="Times New Roman"/>
        </w:rPr>
        <w:t>vb</w:t>
      </w:r>
      <w:proofErr w:type="spellEnd"/>
      <w:r w:rsidRPr="005F024A">
        <w:rPr>
          <w:rFonts w:ascii="Times New Roman" w:hAnsi="Times New Roman"/>
        </w:rPr>
        <w:t xml:space="preserve"> </w:t>
      </w:r>
    </w:p>
    <w:p w14:paraId="1BF04675" w14:textId="77777777" w:rsidR="001E62B5" w:rsidRPr="005F024A"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lastRenderedPageBreak/>
        <w:t xml:space="preserve">Ders dağılım dengesinin izlenmesine ve iyileştirilmesine ilişkin kanıtlar </w:t>
      </w:r>
    </w:p>
    <w:p w14:paraId="6BCBB0F2" w14:textId="77777777" w:rsidR="001E62B5" w:rsidRPr="00AC5BE4" w:rsidRDefault="001E62B5" w:rsidP="001E62B5">
      <w:pPr>
        <w:numPr>
          <w:ilvl w:val="0"/>
          <w:numId w:val="22"/>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005027D5" w14:textId="77777777" w:rsidR="001E62B5" w:rsidRPr="005F024A" w:rsidRDefault="001E62B5" w:rsidP="001E62B5">
      <w:pPr>
        <w:pBdr>
          <w:top w:val="nil"/>
          <w:left w:val="nil"/>
          <w:bottom w:val="nil"/>
          <w:right w:val="nil"/>
          <w:between w:val="nil"/>
        </w:pBdr>
        <w:spacing w:after="0"/>
        <w:ind w:left="426"/>
        <w:rPr>
          <w:rFonts w:ascii="Times New Roman" w:hAnsi="Times New Roman"/>
          <w:color w:val="000000"/>
          <w:sz w:val="10"/>
          <w:szCs w:val="10"/>
        </w:rPr>
      </w:pPr>
    </w:p>
    <w:p w14:paraId="1E14C9DB" w14:textId="77777777" w:rsidR="001E62B5" w:rsidRPr="005F024A" w:rsidRDefault="001E62B5" w:rsidP="001E62B5">
      <w:pPr>
        <w:spacing w:after="0" w:line="240" w:lineRule="auto"/>
        <w:rPr>
          <w:rFonts w:ascii="Times New Roman" w:eastAsia="Times New Roman" w:hAnsi="Times New Roman"/>
          <w:b/>
          <w:i/>
        </w:rPr>
      </w:pPr>
      <w:r>
        <w:rPr>
          <w:rFonts w:ascii="Times New Roman" w:eastAsia="Times New Roman" w:hAnsi="Times New Roman"/>
          <w:b/>
          <w:i/>
        </w:rPr>
        <w:t>B</w:t>
      </w:r>
      <w:r w:rsidRPr="005F024A">
        <w:rPr>
          <w:rFonts w:ascii="Times New Roman" w:eastAsia="Times New Roman" w:hAnsi="Times New Roman"/>
          <w:b/>
          <w:i/>
        </w:rPr>
        <w:t xml:space="preserve">.1.3. Ders kazanımlarının program çıktılarıyla </w:t>
      </w:r>
      <w:r w:rsidRPr="005F024A">
        <w:rPr>
          <w:rFonts w:ascii="Times New Roman" w:eastAsia="CamberW04-Regular" w:hAnsi="Times New Roman"/>
          <w:b/>
          <w:i/>
        </w:rPr>
        <w:t>uyumu</w:t>
      </w:r>
    </w:p>
    <w:p w14:paraId="1E90A83C"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Kurumda, ders kazanımlarını değerlendirilmesi ve müfredat öğrenim hedeflerine ulaşılması ve bunların program çıktıları ile uyumunun nasıl ölçtüğüne dair etkili süreçleri nasıl gerçekleşeceğini gösteren yönerge ve planlama kanıtları </w:t>
      </w:r>
    </w:p>
    <w:p w14:paraId="2E92C736"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Program çıktıları ve ders kazanımlarının ilişkilendirilmesi </w:t>
      </w:r>
    </w:p>
    <w:p w14:paraId="4FF12C0C"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Program dışından alınan derslerin (örgün veya uzaktan) program çıktılarıyla uyumunu gösteren kanıtlar </w:t>
      </w:r>
    </w:p>
    <w:p w14:paraId="7233A27F" w14:textId="77777777" w:rsidR="001E62B5" w:rsidRPr="005F024A"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 xml:space="preserve">Ders kazanımların program çıktılarıyla uyumunun izlenmesine ve iyileştirilmesine ilişkin kanıtlar </w:t>
      </w:r>
    </w:p>
    <w:p w14:paraId="41EDCFAF" w14:textId="77777777" w:rsidR="001E62B5" w:rsidRPr="00AC5BE4" w:rsidRDefault="001E62B5" w:rsidP="001E62B5">
      <w:pPr>
        <w:numPr>
          <w:ilvl w:val="0"/>
          <w:numId w:val="23"/>
        </w:numPr>
        <w:pBdr>
          <w:top w:val="nil"/>
          <w:left w:val="nil"/>
          <w:bottom w:val="nil"/>
          <w:right w:val="nil"/>
          <w:between w:val="nil"/>
        </w:pBdr>
        <w:spacing w:after="0"/>
        <w:ind w:left="426" w:hanging="284"/>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5B4535A1" w14:textId="77777777" w:rsidR="001E62B5" w:rsidRPr="005F024A" w:rsidRDefault="001E62B5" w:rsidP="001E62B5">
      <w:pPr>
        <w:pBdr>
          <w:top w:val="nil"/>
          <w:left w:val="nil"/>
          <w:bottom w:val="nil"/>
          <w:right w:val="nil"/>
          <w:between w:val="nil"/>
        </w:pBdr>
        <w:spacing w:after="0"/>
        <w:ind w:left="426"/>
        <w:rPr>
          <w:rFonts w:ascii="Times New Roman" w:hAnsi="Times New Roman"/>
          <w:color w:val="000000"/>
          <w:sz w:val="10"/>
          <w:szCs w:val="10"/>
        </w:rPr>
      </w:pPr>
    </w:p>
    <w:p w14:paraId="09273F27" w14:textId="77777777" w:rsidR="001E62B5" w:rsidRPr="005F024A" w:rsidRDefault="001E62B5" w:rsidP="001E62B5">
      <w:pPr>
        <w:spacing w:after="0" w:line="240" w:lineRule="auto"/>
        <w:rPr>
          <w:rFonts w:ascii="Times New Roman" w:eastAsia="CamberW04-Regular" w:hAnsi="Times New Roman"/>
          <w:b/>
          <w:i/>
        </w:rPr>
      </w:pPr>
      <w:r>
        <w:rPr>
          <w:rFonts w:ascii="Times New Roman" w:eastAsia="CamberW04-Regular" w:hAnsi="Times New Roman"/>
          <w:b/>
          <w:i/>
        </w:rPr>
        <w:t>B</w:t>
      </w:r>
      <w:r w:rsidRPr="005F024A">
        <w:rPr>
          <w:rFonts w:ascii="Times New Roman" w:eastAsia="CamberW04-Regular" w:hAnsi="Times New Roman"/>
          <w:b/>
          <w:i/>
        </w:rPr>
        <w:t>.1.4. Öğrenci iş yüküne dayalı ders tasarımı</w:t>
      </w:r>
    </w:p>
    <w:p w14:paraId="41AE7098"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AKTS ders bilgi paketleri* (Uzaktan ve karma eğitim programları dahil) </w:t>
      </w:r>
    </w:p>
    <w:p w14:paraId="5C223E40"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Öğrenci iş yükü kredisinin mesleki uygulamalar, değişim programları, staj ve projeler için tanımlandığını gösteren kanıtlar* </w:t>
      </w:r>
    </w:p>
    <w:p w14:paraId="28BAFE95"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İş yükü temelli kredilerin transferi ve tanınmasına ilişkin tanımlı süreçleri içeren belgeler </w:t>
      </w:r>
    </w:p>
    <w:p w14:paraId="28C57219"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Programlarda öğrenci İş yükünün belirlenmesinde öğrenci katılımının sağlandığına ilişkin belgeler ve mekanizmalar </w:t>
      </w:r>
    </w:p>
    <w:p w14:paraId="39B6E600"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Diploma Eki </w:t>
      </w:r>
    </w:p>
    <w:p w14:paraId="38A25B54"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Derslerin AKTS kredileri ve AKTS hesaplama tablolarının takibini gösteren kanıtlar </w:t>
      </w:r>
    </w:p>
    <w:p w14:paraId="47966A60"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AKTS hesaplama tabloları ve ek belgeler (</w:t>
      </w:r>
      <w:proofErr w:type="spellStart"/>
      <w:r w:rsidRPr="005F024A">
        <w:rPr>
          <w:rFonts w:ascii="Times New Roman" w:hAnsi="Times New Roman"/>
        </w:rPr>
        <w:t>örn</w:t>
      </w:r>
      <w:proofErr w:type="spellEnd"/>
      <w:r w:rsidRPr="005F024A">
        <w:rPr>
          <w:rFonts w:ascii="Times New Roman" w:hAnsi="Times New Roman"/>
        </w:rPr>
        <w:t xml:space="preserve">; öğretim üyeleri ve öğrencilerle yapılan anketler) </w:t>
      </w:r>
    </w:p>
    <w:p w14:paraId="707BBBF0"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 xml:space="preserve">İş yükü temelli kredilerin geribildirimler doğrultusunda güncellendiğine ilişkin kanıtlar </w:t>
      </w:r>
    </w:p>
    <w:p w14:paraId="55E5E8F0" w14:textId="77777777" w:rsidR="001E62B5" w:rsidRPr="005F024A" w:rsidRDefault="001E62B5" w:rsidP="001E62B5">
      <w:pPr>
        <w:numPr>
          <w:ilvl w:val="0"/>
          <w:numId w:val="24"/>
        </w:numPr>
        <w:pBdr>
          <w:top w:val="nil"/>
          <w:left w:val="nil"/>
          <w:bottom w:val="nil"/>
          <w:right w:val="nil"/>
          <w:between w:val="nil"/>
        </w:pBdr>
        <w:spacing w:after="0"/>
        <w:ind w:left="426" w:hanging="284"/>
        <w:rPr>
          <w:rFonts w:ascii="Times New Roman" w:eastAsia="Times New Roman" w:hAnsi="Times New Roman"/>
          <w:color w:val="000000"/>
        </w:rPr>
      </w:pPr>
      <w:r w:rsidRPr="005F024A">
        <w:rPr>
          <w:rFonts w:ascii="Times New Roman" w:hAnsi="Times New Roman"/>
        </w:rPr>
        <w:t>Standart uygulamalar ve mevzuatın yanı sıra kurumun ihtiyaçları doğrultusunda geliştirdiği özgün yaklaşım ve uygulamalarına ilişkin kanıtlar</w:t>
      </w:r>
    </w:p>
    <w:p w14:paraId="702617AD" w14:textId="77777777" w:rsidR="001E62B5" w:rsidRPr="005F024A" w:rsidRDefault="001E62B5" w:rsidP="001E62B5">
      <w:pPr>
        <w:pBdr>
          <w:top w:val="nil"/>
          <w:left w:val="nil"/>
          <w:bottom w:val="nil"/>
          <w:right w:val="nil"/>
          <w:between w:val="nil"/>
        </w:pBdr>
        <w:spacing w:after="0"/>
        <w:rPr>
          <w:rFonts w:ascii="Times New Roman" w:eastAsia="Times New Roman" w:hAnsi="Times New Roman"/>
          <w:color w:val="000000"/>
          <w:sz w:val="10"/>
          <w:szCs w:val="10"/>
        </w:rPr>
      </w:pPr>
    </w:p>
    <w:p w14:paraId="0067358C" w14:textId="77777777" w:rsidR="001E62B5" w:rsidRPr="005F024A"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CamberW04-Regular" w:hAnsi="Times New Roman"/>
          <w:b/>
          <w:i/>
        </w:rPr>
        <w:t>B</w:t>
      </w:r>
      <w:r w:rsidRPr="005F024A">
        <w:rPr>
          <w:rFonts w:ascii="Times New Roman" w:eastAsia="CamberW04-Regular" w:hAnsi="Times New Roman"/>
          <w:b/>
          <w:i/>
        </w:rPr>
        <w:t xml:space="preserve">.1.5. </w:t>
      </w:r>
      <w:r w:rsidRPr="005F024A">
        <w:rPr>
          <w:rFonts w:ascii="Times New Roman" w:eastAsia="Times New Roman" w:hAnsi="Times New Roman"/>
          <w:b/>
          <w:color w:val="000000"/>
        </w:rPr>
        <w:t>Programların izlenmesi ve güncellenmesi</w:t>
      </w:r>
    </w:p>
    <w:p w14:paraId="127DEC57"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izlenmesi ve güncellenmesine ilişkin periyot (yıllık ve program süresinin sonunda) ilke, kural, gösterge, plan ve uygulamalar </w:t>
      </w:r>
    </w:p>
    <w:p w14:paraId="03E08D18"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Kurumun misyon, vizyon ve hedefleri doğrultusunda programlarını güncellemek üzere kurduğu mekanizma örnekleri </w:t>
      </w:r>
    </w:p>
    <w:p w14:paraId="58917823"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yıllık öz değerlendirme raporları (Program çıktıları açısından değerlendirme) </w:t>
      </w:r>
    </w:p>
    <w:p w14:paraId="5FBABF5F"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 çıktılarına ulaşılıp ulaşılmadığını izleyen sistemler (Bilgi Yönetim Sistemi) </w:t>
      </w:r>
    </w:p>
    <w:p w14:paraId="1A4C77B4"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Programların yıllık ve program süresi temelli izlemelerden hareketle yapılan iyileştirmeler </w:t>
      </w:r>
    </w:p>
    <w:p w14:paraId="02990637"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Yapılan iyileştirmeler ve değişiklikler konusunda paydaşların bilgilendirildiği uygulamalar </w:t>
      </w:r>
    </w:p>
    <w:p w14:paraId="43902CF2"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Programın amaçlarına ulaşıp ulaşmadığına ilişkin geri bildirimler </w:t>
      </w:r>
    </w:p>
    <w:p w14:paraId="0D1905E7"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 xml:space="preserve">Doğal afet </w:t>
      </w:r>
      <w:proofErr w:type="spellStart"/>
      <w:r w:rsidRPr="005F024A">
        <w:rPr>
          <w:rFonts w:ascii="Times New Roman" w:hAnsi="Times New Roman"/>
        </w:rPr>
        <w:t>vb</w:t>
      </w:r>
      <w:proofErr w:type="spellEnd"/>
      <w:r w:rsidRPr="005F024A">
        <w:rPr>
          <w:rFonts w:ascii="Times New Roman" w:hAnsi="Times New Roman"/>
        </w:rPr>
        <w:t xml:space="preserve"> gibi olağan dışı durumlar karşısında programların yürütülmesi için gerekli sürdürülebilir öğretim modelinin oluşturulduğuna dair kanıtlar </w:t>
      </w:r>
    </w:p>
    <w:p w14:paraId="14042C10" w14:textId="77777777" w:rsidR="001E62B5" w:rsidRPr="005F024A" w:rsidRDefault="001E62B5" w:rsidP="001E62B5">
      <w:pPr>
        <w:numPr>
          <w:ilvl w:val="0"/>
          <w:numId w:val="25"/>
        </w:numPr>
        <w:pBdr>
          <w:top w:val="nil"/>
          <w:left w:val="nil"/>
          <w:bottom w:val="nil"/>
          <w:right w:val="nil"/>
          <w:between w:val="nil"/>
        </w:pBdr>
        <w:spacing w:after="0"/>
        <w:ind w:left="426" w:hanging="284"/>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7F1B1DAD" w14:textId="77777777" w:rsidR="001E62B5" w:rsidRDefault="001E62B5" w:rsidP="001E62B5">
      <w:pPr>
        <w:widowControl w:val="0"/>
        <w:pBdr>
          <w:top w:val="nil"/>
          <w:left w:val="nil"/>
          <w:bottom w:val="nil"/>
          <w:right w:val="nil"/>
          <w:between w:val="nil"/>
        </w:pBdr>
        <w:spacing w:after="0" w:line="240" w:lineRule="auto"/>
        <w:ind w:right="63"/>
        <w:jc w:val="both"/>
        <w:rPr>
          <w:rFonts w:ascii="Times New Roman" w:eastAsia="CamberW04-Regular" w:hAnsi="Times New Roman"/>
          <w:b/>
          <w:i/>
        </w:rPr>
      </w:pPr>
    </w:p>
    <w:p w14:paraId="4E4E7B12" w14:textId="77777777" w:rsidR="001E62B5" w:rsidRPr="005F024A"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CamberW04-Regular" w:hAnsi="Times New Roman"/>
          <w:b/>
          <w:i/>
        </w:rPr>
        <w:t>B</w:t>
      </w:r>
      <w:r w:rsidRPr="005F024A">
        <w:rPr>
          <w:rFonts w:ascii="Times New Roman" w:eastAsia="CamberW04-Regular" w:hAnsi="Times New Roman"/>
          <w:b/>
          <w:i/>
        </w:rPr>
        <w:t xml:space="preserve">.1.6. </w:t>
      </w:r>
      <w:r w:rsidRPr="005F024A">
        <w:rPr>
          <w:rFonts w:ascii="Times New Roman" w:eastAsia="Times New Roman" w:hAnsi="Times New Roman"/>
          <w:b/>
          <w:color w:val="000000"/>
        </w:rPr>
        <w:t>Eğitim ve öğretim süreçlerinin yönetimi</w:t>
      </w:r>
    </w:p>
    <w:p w14:paraId="33D439E1"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Eğitim ve öğretim süreçlerinin yönetimine ilişkin organizasyonel yapılanma ve iş akış şemaları</w:t>
      </w:r>
    </w:p>
    <w:p w14:paraId="6FBD4C7E"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Eğitim ve öğretim ile ölçme ve değerlendirme süreçlerinin yönetimine ilişkin </w:t>
      </w:r>
      <w:proofErr w:type="spellStart"/>
      <w:proofErr w:type="gramStart"/>
      <w:r w:rsidRPr="005F024A">
        <w:rPr>
          <w:rFonts w:ascii="Times New Roman" w:hAnsi="Times New Roman"/>
        </w:rPr>
        <w:t>ilke,kurallar</w:t>
      </w:r>
      <w:proofErr w:type="spellEnd"/>
      <w:proofErr w:type="gramEnd"/>
      <w:r w:rsidRPr="005F024A">
        <w:rPr>
          <w:rFonts w:ascii="Times New Roman" w:hAnsi="Times New Roman"/>
        </w:rPr>
        <w:t xml:space="preserve"> ve takvim </w:t>
      </w:r>
    </w:p>
    <w:p w14:paraId="4C2C8338"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Bilgi Yönetim Sistemi </w:t>
      </w:r>
    </w:p>
    <w:p w14:paraId="62B2E883"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 xml:space="preserve">Eğitim ve öğretim süreçlerinin yönetimine ilişkin izleme ve iyileştirme kanıtları </w:t>
      </w:r>
    </w:p>
    <w:p w14:paraId="048EDC62"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lastRenderedPageBreak/>
        <w:t xml:space="preserve">İzleme çalışmalarına dair değerlendirme raporları, geri bildirimlerin analiz edildiği raporlar ya da analiz içeren dokümanlar ve bu dokümanlara dayanarak yapılan iyileştirmelere ilişkin yapılan düzenlemeler </w:t>
      </w:r>
    </w:p>
    <w:p w14:paraId="77A95990" w14:textId="77777777" w:rsidR="001E62B5" w:rsidRPr="005F024A" w:rsidRDefault="001E62B5" w:rsidP="001E62B5">
      <w:pPr>
        <w:widowControl w:val="0"/>
        <w:numPr>
          <w:ilvl w:val="0"/>
          <w:numId w:val="26"/>
        </w:numPr>
        <w:spacing w:after="0"/>
        <w:ind w:left="426" w:right="63" w:hanging="284"/>
        <w:jc w:val="both"/>
        <w:rPr>
          <w:rFonts w:ascii="Times New Roman" w:eastAsia="Times New Roman" w:hAnsi="Times New Roman"/>
        </w:rPr>
      </w:pPr>
      <w:r w:rsidRPr="005F024A">
        <w:rPr>
          <w:rFonts w:ascii="Times New Roman" w:hAnsi="Times New Roman"/>
        </w:rPr>
        <w:t>Standart uygulamalar ve mevzuatın yanı sıra kurumun ihtiyaçları doğrultusunda geliştirdiği özgün yaklaşım ve uygulamalarına ilişkin kanıtlar</w:t>
      </w:r>
    </w:p>
    <w:p w14:paraId="36DDF1D5"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.2. Programların Yürütülmesi (Öğrenci Merkezli Öğrenme, Öğretme ve Değerlendirme)</w:t>
      </w:r>
    </w:p>
    <w:p w14:paraId="7B93506B" w14:textId="77777777" w:rsidR="001E62B5" w:rsidRPr="005F024A" w:rsidRDefault="001E62B5" w:rsidP="001E62B5">
      <w:pPr>
        <w:widowControl w:val="0"/>
        <w:spacing w:after="0" w:line="360" w:lineRule="auto"/>
        <w:ind w:left="507" w:right="63"/>
        <w:jc w:val="both"/>
        <w:rPr>
          <w:rFonts w:ascii="Times New Roman" w:eastAsia="Times New Roman" w:hAnsi="Times New Roman"/>
          <w:b/>
          <w:sz w:val="24"/>
          <w:szCs w:val="24"/>
        </w:rPr>
      </w:pPr>
      <w:r w:rsidRPr="005F024A">
        <w:rPr>
          <w:rFonts w:ascii="Times New Roman" w:hAnsi="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5D81031E"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.2.1. Öğretim yöntem ve teknikleri</w:t>
      </w:r>
    </w:p>
    <w:p w14:paraId="3961859E"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Ders bilgi paketlerinde öğrenci merkezli öğretim yöntemlerinin varlığı </w:t>
      </w:r>
    </w:p>
    <w:p w14:paraId="6D4FD191"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Uzaktan eğitime özgü öğretim materyali geliştirme ve öğretim yöntemlerine ilişkin ilkeler, mekanizmalar </w:t>
      </w:r>
    </w:p>
    <w:p w14:paraId="2A279958"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Aktif ve etkileşimli öğretme yöntemlerine ilişkin tanımlı süreçler ve uygulamalar </w:t>
      </w:r>
    </w:p>
    <w:p w14:paraId="4C328D93"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Eğiticilerin eğitimi program içeriğinde öğrenci merkezli öğrenme-öğretme yaklaşımına ilişkin uygulamalar </w:t>
      </w:r>
    </w:p>
    <w:p w14:paraId="4A6E1A9E"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Süreçlerin izlenmesine ve buna bağlı iyileştirme çalışmalarına yönelik kanıtlar </w:t>
      </w:r>
    </w:p>
    <w:p w14:paraId="7CFFED8C" w14:textId="77777777" w:rsidR="001E62B5" w:rsidRPr="005F024A" w:rsidRDefault="001E62B5" w:rsidP="001E62B5">
      <w:pPr>
        <w:widowControl w:val="0"/>
        <w:numPr>
          <w:ilvl w:val="0"/>
          <w:numId w:val="27"/>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0148FF03" w14:textId="77777777" w:rsidR="001E62B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686BBFF9"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.2.2. </w:t>
      </w:r>
      <w:r w:rsidRPr="005F024A">
        <w:rPr>
          <w:rFonts w:ascii="Times New Roman" w:eastAsia="Times New Roman" w:hAnsi="Times New Roman"/>
          <w:b/>
          <w:color w:val="000000"/>
        </w:rPr>
        <w:t>Ölçme ve değerlendirme</w:t>
      </w:r>
    </w:p>
    <w:p w14:paraId="08B0A1E8"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 merkezli ölçme ve değerlendirme yaklaşımlarını içeren planlama dokümanları, organizasyon yapıları ve görev tanımları </w:t>
      </w:r>
    </w:p>
    <w:p w14:paraId="7B3FF62D"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Programlardaki ölçme ve değerlendirme çeşitliliğine ilişkin uygulama örnekleri </w:t>
      </w:r>
    </w:p>
    <w:p w14:paraId="5FD425B1"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Örgün/uzaktan/karma derslerde kullanılan sınav örnekleri (programda yer verilen farklı ölçme araçlarına ilişkin) </w:t>
      </w:r>
    </w:p>
    <w:p w14:paraId="68B6CF31"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Ölçme ve değerlendirme uygulamalarının ders kazanımları ve program yeterlilikleriyle ilişkilendirildiğini, öğrenci iş yükünü temel aldığını* gösteren ders bilgi paketi örnekleri </w:t>
      </w:r>
    </w:p>
    <w:p w14:paraId="4837671D"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Dezavantajlı gruplar ve çevrimiçi sınavlar gibi özel ölçme türlerine ilişkin mekanizmalar </w:t>
      </w:r>
    </w:p>
    <w:p w14:paraId="107B94FC"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Sınav güvenliği mekanizmaları </w:t>
      </w:r>
    </w:p>
    <w:p w14:paraId="700F4C07"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İzleme ve paydaş katılımına dayalı iyileştirme kanıtları </w:t>
      </w:r>
    </w:p>
    <w:p w14:paraId="15E4A97F" w14:textId="77777777" w:rsidR="001E62B5" w:rsidRPr="005F024A" w:rsidRDefault="001E62B5" w:rsidP="001E62B5">
      <w:pPr>
        <w:widowControl w:val="0"/>
        <w:numPr>
          <w:ilvl w:val="0"/>
          <w:numId w:val="28"/>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004737D8" w14:textId="77777777" w:rsidR="001E62B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4736109E"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.2.3. </w:t>
      </w:r>
      <w:r w:rsidRPr="005F024A">
        <w:rPr>
          <w:rFonts w:ascii="Times New Roman" w:eastAsia="Times New Roman" w:hAnsi="Times New Roman"/>
          <w:b/>
          <w:color w:val="000000"/>
        </w:rPr>
        <w:t>Öğrenci kabulü, önceki öğrenmenin tanınması ve kredilendirilmesi</w:t>
      </w:r>
    </w:p>
    <w:p w14:paraId="00284B41"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Öğrenci kabulü, önceki öğrenmenin tanınması ve kredilendirilmesine ilişkin ilke ve kurallar </w:t>
      </w:r>
    </w:p>
    <w:p w14:paraId="24DBB3EA"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Önceki öğrenmelerin tanınmasında öğrenci iş yükü temelli kredilerin kullanıldığına dair belgeler </w:t>
      </w:r>
    </w:p>
    <w:p w14:paraId="1B91CD70"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Uygulamaların tanımlı süreçlerle uyumuna ve sürekliliğine ilişkin kanıtlar, </w:t>
      </w:r>
    </w:p>
    <w:p w14:paraId="4382F0BE"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 xml:space="preserve">Paydaşların bilgilendirildiği mekanizmalar </w:t>
      </w:r>
    </w:p>
    <w:p w14:paraId="115A8590" w14:textId="77777777" w:rsidR="001E62B5" w:rsidRPr="005F024A" w:rsidRDefault="001E62B5" w:rsidP="001E62B5">
      <w:pPr>
        <w:widowControl w:val="0"/>
        <w:numPr>
          <w:ilvl w:val="0"/>
          <w:numId w:val="29"/>
        </w:numPr>
        <w:spacing w:after="0" w:line="360" w:lineRule="auto"/>
        <w:ind w:left="426" w:right="63" w:hanging="284"/>
        <w:jc w:val="both"/>
        <w:rPr>
          <w:rFonts w:ascii="Times New Roman" w:eastAsia="Times New Roman" w:hAnsi="Times New Roman"/>
        </w:rPr>
      </w:pPr>
      <w:r w:rsidRPr="005F024A">
        <w:rPr>
          <w:rFonts w:ascii="Times New Roman" w:hAnsi="Times New Roman"/>
        </w:rPr>
        <w:t>Standart uygulamalar ve mevzuatın yanı sıra kurumun ihtiyaçları doğrultusunda geliştirdiği özgün yaklaşım ve uygulamalarına ilişkin kanıtlar</w:t>
      </w:r>
    </w:p>
    <w:p w14:paraId="58C2A54D" w14:textId="77777777" w:rsidR="001E62B5" w:rsidRPr="005F024A" w:rsidRDefault="001E62B5" w:rsidP="001E62B5">
      <w:pPr>
        <w:ind w:left="118" w:hanging="118"/>
        <w:jc w:val="center"/>
        <w:rPr>
          <w:rFonts w:ascii="Times New Roman" w:eastAsia="Times New Roman" w:hAnsi="Times New Roman"/>
          <w:b/>
          <w:sz w:val="24"/>
          <w:szCs w:val="24"/>
        </w:rPr>
      </w:pPr>
      <w:bookmarkStart w:id="0" w:name="_1fob9te" w:colFirst="0" w:colLast="0"/>
      <w:bookmarkEnd w:id="0"/>
      <w:r w:rsidRPr="005F024A">
        <w:rPr>
          <w:rFonts w:ascii="Times New Roman" w:eastAsia="Times New Roman" w:hAnsi="Times New Roman"/>
          <w:b/>
          <w:sz w:val="24"/>
          <w:szCs w:val="24"/>
        </w:rPr>
        <w:lastRenderedPageBreak/>
        <w:t>Tablo 2. Ön Lisans/Lisans Öğrencilerinin YKS Derecelerine İlişkin Bilgi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9"/>
        <w:gridCol w:w="1052"/>
        <w:gridCol w:w="1051"/>
        <w:gridCol w:w="1428"/>
        <w:gridCol w:w="875"/>
        <w:gridCol w:w="794"/>
        <w:gridCol w:w="875"/>
        <w:gridCol w:w="788"/>
      </w:tblGrid>
      <w:tr w:rsidR="001E62B5" w:rsidRPr="005F024A" w14:paraId="6546DA22" w14:textId="77777777" w:rsidTr="001E5877">
        <w:trPr>
          <w:trHeight w:val="307"/>
        </w:trPr>
        <w:tc>
          <w:tcPr>
            <w:tcW w:w="1213" w:type="pct"/>
            <w:vMerge w:val="restart"/>
            <w:vAlign w:val="center"/>
          </w:tcPr>
          <w:p w14:paraId="3E4C5975" w14:textId="77777777" w:rsidR="001E62B5" w:rsidRPr="005F024A" w:rsidRDefault="001E62B5" w:rsidP="00EB1A4D">
            <w:pPr>
              <w:pBdr>
                <w:top w:val="nil"/>
                <w:left w:val="nil"/>
                <w:bottom w:val="nil"/>
                <w:right w:val="nil"/>
                <w:between w:val="nil"/>
              </w:pBdr>
              <w:rPr>
                <w:rFonts w:ascii="Times New Roman" w:hAnsi="Times New Roman"/>
                <w:color w:val="000000"/>
                <w:sz w:val="20"/>
                <w:szCs w:val="20"/>
              </w:rPr>
            </w:pPr>
            <w:r w:rsidRPr="005F024A">
              <w:rPr>
                <w:rFonts w:ascii="Times New Roman" w:hAnsi="Times New Roman"/>
                <w:color w:val="000000"/>
                <w:sz w:val="20"/>
                <w:szCs w:val="20"/>
              </w:rPr>
              <w:t>Bölüm/Program Adı</w:t>
            </w:r>
          </w:p>
        </w:tc>
        <w:tc>
          <w:tcPr>
            <w:tcW w:w="580" w:type="pct"/>
            <w:vMerge w:val="restart"/>
            <w:vAlign w:val="center"/>
          </w:tcPr>
          <w:p w14:paraId="1210B938"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Akademik Yıl</w:t>
            </w:r>
          </w:p>
        </w:tc>
        <w:tc>
          <w:tcPr>
            <w:tcW w:w="580" w:type="pct"/>
            <w:vMerge w:val="restart"/>
            <w:vAlign w:val="center"/>
          </w:tcPr>
          <w:p w14:paraId="269E5969"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Kontenjan</w:t>
            </w:r>
          </w:p>
        </w:tc>
        <w:tc>
          <w:tcPr>
            <w:tcW w:w="788" w:type="pct"/>
            <w:vMerge w:val="restart"/>
            <w:vAlign w:val="center"/>
          </w:tcPr>
          <w:p w14:paraId="23D8D03C"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Kayıt Yaptıran Öğrenci Sayısı</w:t>
            </w:r>
          </w:p>
        </w:tc>
        <w:tc>
          <w:tcPr>
            <w:tcW w:w="921" w:type="pct"/>
            <w:gridSpan w:val="2"/>
            <w:tcBorders>
              <w:bottom w:val="single" w:sz="4" w:space="0" w:color="000000"/>
            </w:tcBorders>
            <w:vAlign w:val="center"/>
          </w:tcPr>
          <w:p w14:paraId="4FB96563"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YKS Puanı</w:t>
            </w:r>
          </w:p>
        </w:tc>
        <w:tc>
          <w:tcPr>
            <w:tcW w:w="919" w:type="pct"/>
            <w:gridSpan w:val="2"/>
            <w:tcBorders>
              <w:bottom w:val="single" w:sz="4" w:space="0" w:color="000000"/>
            </w:tcBorders>
            <w:vAlign w:val="center"/>
          </w:tcPr>
          <w:p w14:paraId="16736DC5"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YKS Başarı Sırası</w:t>
            </w:r>
          </w:p>
        </w:tc>
      </w:tr>
      <w:tr w:rsidR="001E62B5" w:rsidRPr="005F024A" w14:paraId="50DCAF77" w14:textId="77777777" w:rsidTr="001E5877">
        <w:trPr>
          <w:trHeight w:val="262"/>
        </w:trPr>
        <w:tc>
          <w:tcPr>
            <w:tcW w:w="1213" w:type="pct"/>
            <w:vMerge/>
            <w:vAlign w:val="center"/>
          </w:tcPr>
          <w:p w14:paraId="6A2B33B3" w14:textId="77777777" w:rsidR="001E62B5" w:rsidRPr="005F024A" w:rsidRDefault="001E62B5" w:rsidP="00EB1A4D">
            <w:pPr>
              <w:widowControl w:val="0"/>
              <w:pBdr>
                <w:top w:val="nil"/>
                <w:left w:val="nil"/>
                <w:bottom w:val="nil"/>
                <w:right w:val="nil"/>
                <w:between w:val="nil"/>
              </w:pBdr>
              <w:rPr>
                <w:rFonts w:ascii="Times New Roman" w:hAnsi="Times New Roman"/>
                <w:color w:val="000000"/>
                <w:sz w:val="20"/>
                <w:szCs w:val="20"/>
              </w:rPr>
            </w:pPr>
          </w:p>
        </w:tc>
        <w:tc>
          <w:tcPr>
            <w:tcW w:w="580" w:type="pct"/>
            <w:vMerge/>
            <w:vAlign w:val="center"/>
          </w:tcPr>
          <w:p w14:paraId="166B42B4" w14:textId="77777777" w:rsidR="001E62B5" w:rsidRPr="005F024A" w:rsidRDefault="001E62B5" w:rsidP="00EB1A4D">
            <w:pPr>
              <w:widowControl w:val="0"/>
              <w:pBdr>
                <w:top w:val="nil"/>
                <w:left w:val="nil"/>
                <w:bottom w:val="nil"/>
                <w:right w:val="nil"/>
                <w:between w:val="nil"/>
              </w:pBdr>
              <w:jc w:val="center"/>
              <w:rPr>
                <w:rFonts w:ascii="Times New Roman" w:hAnsi="Times New Roman"/>
                <w:color w:val="000000"/>
                <w:sz w:val="20"/>
                <w:szCs w:val="20"/>
              </w:rPr>
            </w:pPr>
          </w:p>
        </w:tc>
        <w:tc>
          <w:tcPr>
            <w:tcW w:w="580" w:type="pct"/>
            <w:vMerge/>
            <w:vAlign w:val="center"/>
          </w:tcPr>
          <w:p w14:paraId="2BEAC3B7" w14:textId="77777777" w:rsidR="001E62B5" w:rsidRPr="005F024A" w:rsidRDefault="001E62B5" w:rsidP="00EB1A4D">
            <w:pPr>
              <w:widowControl w:val="0"/>
              <w:pBdr>
                <w:top w:val="nil"/>
                <w:left w:val="nil"/>
                <w:bottom w:val="nil"/>
                <w:right w:val="nil"/>
                <w:between w:val="nil"/>
              </w:pBdr>
              <w:jc w:val="center"/>
              <w:rPr>
                <w:rFonts w:ascii="Times New Roman" w:hAnsi="Times New Roman"/>
                <w:color w:val="000000"/>
                <w:sz w:val="20"/>
                <w:szCs w:val="20"/>
              </w:rPr>
            </w:pPr>
          </w:p>
        </w:tc>
        <w:tc>
          <w:tcPr>
            <w:tcW w:w="788" w:type="pct"/>
            <w:vMerge/>
            <w:vAlign w:val="center"/>
          </w:tcPr>
          <w:p w14:paraId="68631287" w14:textId="77777777" w:rsidR="001E62B5" w:rsidRPr="005F024A" w:rsidRDefault="001E62B5" w:rsidP="00EB1A4D">
            <w:pPr>
              <w:widowControl w:val="0"/>
              <w:pBdr>
                <w:top w:val="nil"/>
                <w:left w:val="nil"/>
                <w:bottom w:val="nil"/>
                <w:right w:val="nil"/>
                <w:between w:val="nil"/>
              </w:pBdr>
              <w:jc w:val="center"/>
              <w:rPr>
                <w:rFonts w:ascii="Times New Roman" w:hAnsi="Times New Roman"/>
                <w:color w:val="000000"/>
                <w:sz w:val="20"/>
                <w:szCs w:val="20"/>
              </w:rPr>
            </w:pPr>
          </w:p>
        </w:tc>
        <w:tc>
          <w:tcPr>
            <w:tcW w:w="483" w:type="pct"/>
            <w:tcBorders>
              <w:top w:val="single" w:sz="4" w:space="0" w:color="000000"/>
            </w:tcBorders>
            <w:vAlign w:val="center"/>
          </w:tcPr>
          <w:p w14:paraId="3BCAB716"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yüksek</w:t>
            </w:r>
          </w:p>
        </w:tc>
        <w:tc>
          <w:tcPr>
            <w:tcW w:w="438" w:type="pct"/>
            <w:tcBorders>
              <w:top w:val="single" w:sz="4" w:space="0" w:color="000000"/>
            </w:tcBorders>
            <w:vAlign w:val="center"/>
          </w:tcPr>
          <w:p w14:paraId="6ADE8C00"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düşük</w:t>
            </w:r>
          </w:p>
        </w:tc>
        <w:tc>
          <w:tcPr>
            <w:tcW w:w="483" w:type="pct"/>
            <w:tcBorders>
              <w:top w:val="single" w:sz="4" w:space="0" w:color="000000"/>
            </w:tcBorders>
            <w:vAlign w:val="center"/>
          </w:tcPr>
          <w:p w14:paraId="76ADC100"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yüksek</w:t>
            </w:r>
          </w:p>
        </w:tc>
        <w:tc>
          <w:tcPr>
            <w:tcW w:w="436" w:type="pct"/>
            <w:tcBorders>
              <w:top w:val="single" w:sz="4" w:space="0" w:color="000000"/>
            </w:tcBorders>
            <w:vAlign w:val="center"/>
          </w:tcPr>
          <w:p w14:paraId="02D21783" w14:textId="77777777" w:rsidR="001E62B5" w:rsidRPr="005F024A" w:rsidRDefault="001E62B5" w:rsidP="00EB1A4D">
            <w:pPr>
              <w:pBdr>
                <w:top w:val="nil"/>
                <w:left w:val="nil"/>
                <w:bottom w:val="nil"/>
                <w:right w:val="nil"/>
                <w:between w:val="nil"/>
              </w:pBdr>
              <w:jc w:val="center"/>
              <w:rPr>
                <w:rFonts w:ascii="Times New Roman" w:hAnsi="Times New Roman"/>
                <w:color w:val="000000"/>
                <w:sz w:val="20"/>
                <w:szCs w:val="20"/>
              </w:rPr>
            </w:pPr>
            <w:r w:rsidRPr="005F024A">
              <w:rPr>
                <w:rFonts w:ascii="Times New Roman" w:hAnsi="Times New Roman"/>
                <w:color w:val="000000"/>
                <w:sz w:val="20"/>
                <w:szCs w:val="20"/>
              </w:rPr>
              <w:t>En düşük</w:t>
            </w:r>
          </w:p>
        </w:tc>
      </w:tr>
      <w:tr w:rsidR="001E62B5" w:rsidRPr="005F024A" w14:paraId="2E67C431" w14:textId="77777777" w:rsidTr="001E5877">
        <w:trPr>
          <w:trHeight w:val="258"/>
        </w:trPr>
        <w:tc>
          <w:tcPr>
            <w:tcW w:w="1213" w:type="pct"/>
            <w:vMerge w:val="restart"/>
            <w:vAlign w:val="center"/>
          </w:tcPr>
          <w:p w14:paraId="3D444EE3" w14:textId="77777777" w:rsidR="001E62B5" w:rsidRPr="005F024A" w:rsidRDefault="00442603" w:rsidP="00EB1A4D">
            <w:pPr>
              <w:pBdr>
                <w:top w:val="nil"/>
                <w:left w:val="nil"/>
                <w:bottom w:val="nil"/>
                <w:right w:val="nil"/>
                <w:between w:val="nil"/>
              </w:pBdr>
              <w:rPr>
                <w:rFonts w:ascii="Times New Roman" w:hAnsi="Times New Roman"/>
                <w:color w:val="000000"/>
                <w:sz w:val="20"/>
                <w:szCs w:val="20"/>
              </w:rPr>
            </w:pPr>
            <w:r>
              <w:rPr>
                <w:rFonts w:ascii="Times New Roman" w:hAnsi="Times New Roman"/>
              </w:rPr>
              <w:t>İngilizce Mütercim ve Tercümanlık Anabilim Dalı</w:t>
            </w:r>
          </w:p>
        </w:tc>
        <w:tc>
          <w:tcPr>
            <w:tcW w:w="580" w:type="pct"/>
            <w:vAlign w:val="center"/>
          </w:tcPr>
          <w:p w14:paraId="00931F1A" w14:textId="77777777" w:rsidR="001E62B5" w:rsidRPr="005F024A" w:rsidRDefault="001E5877" w:rsidP="00EB1A4D">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rPr>
              <w:t>2024-2025</w:t>
            </w:r>
          </w:p>
        </w:tc>
        <w:tc>
          <w:tcPr>
            <w:tcW w:w="580" w:type="pct"/>
            <w:vAlign w:val="center"/>
          </w:tcPr>
          <w:p w14:paraId="271CEA9C" w14:textId="77777777" w:rsidR="001E62B5" w:rsidRPr="004374E5" w:rsidRDefault="00442603" w:rsidP="00EB1A4D">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788" w:type="pct"/>
            <w:vAlign w:val="center"/>
          </w:tcPr>
          <w:p w14:paraId="1B612510" w14:textId="77777777" w:rsidR="001E62B5" w:rsidRPr="004374E5" w:rsidRDefault="00442603" w:rsidP="00EB1A4D">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83" w:type="pct"/>
            <w:vAlign w:val="center"/>
          </w:tcPr>
          <w:p w14:paraId="78D7933D" w14:textId="77777777" w:rsidR="001E62B5" w:rsidRPr="004374E5" w:rsidRDefault="00442603" w:rsidP="00EB1A4D">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38" w:type="pct"/>
            <w:vAlign w:val="center"/>
          </w:tcPr>
          <w:p w14:paraId="01388B1B" w14:textId="77777777" w:rsidR="001E62B5" w:rsidRPr="004374E5" w:rsidRDefault="00442603" w:rsidP="00EB1A4D">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83" w:type="pct"/>
            <w:vAlign w:val="center"/>
          </w:tcPr>
          <w:p w14:paraId="713D30F2" w14:textId="77777777" w:rsidR="001E62B5" w:rsidRPr="004374E5" w:rsidRDefault="00442603" w:rsidP="00EB1A4D">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36" w:type="pct"/>
            <w:vAlign w:val="center"/>
          </w:tcPr>
          <w:p w14:paraId="538B9F36" w14:textId="77777777" w:rsidR="001E62B5" w:rsidRPr="004374E5" w:rsidRDefault="00442603" w:rsidP="00EB1A4D">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r>
      <w:tr w:rsidR="001E5877" w:rsidRPr="005F024A" w14:paraId="79FBA5A3" w14:textId="77777777" w:rsidTr="001E5877">
        <w:trPr>
          <w:trHeight w:val="258"/>
        </w:trPr>
        <w:tc>
          <w:tcPr>
            <w:tcW w:w="1213" w:type="pct"/>
            <w:vMerge/>
            <w:vAlign w:val="center"/>
          </w:tcPr>
          <w:p w14:paraId="5DDE6304" w14:textId="77777777" w:rsidR="001E5877" w:rsidRPr="005F024A" w:rsidRDefault="001E5877" w:rsidP="001E5877">
            <w:pPr>
              <w:widowControl w:val="0"/>
              <w:pBdr>
                <w:top w:val="nil"/>
                <w:left w:val="nil"/>
                <w:bottom w:val="nil"/>
                <w:right w:val="nil"/>
                <w:between w:val="nil"/>
              </w:pBdr>
              <w:rPr>
                <w:rFonts w:ascii="Times New Roman" w:hAnsi="Times New Roman"/>
                <w:color w:val="000000"/>
                <w:sz w:val="20"/>
                <w:szCs w:val="20"/>
                <w:highlight w:val="yellow"/>
              </w:rPr>
            </w:pPr>
          </w:p>
        </w:tc>
        <w:tc>
          <w:tcPr>
            <w:tcW w:w="580" w:type="pct"/>
            <w:vAlign w:val="center"/>
          </w:tcPr>
          <w:p w14:paraId="37897AC7"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r w:rsidRPr="005F024A">
              <w:rPr>
                <w:rFonts w:ascii="Times New Roman" w:hAnsi="Times New Roman"/>
                <w:color w:val="000000"/>
                <w:sz w:val="20"/>
                <w:szCs w:val="20"/>
              </w:rPr>
              <w:t>2023-2024</w:t>
            </w:r>
          </w:p>
        </w:tc>
        <w:tc>
          <w:tcPr>
            <w:tcW w:w="580" w:type="pct"/>
            <w:vAlign w:val="center"/>
          </w:tcPr>
          <w:p w14:paraId="3037F478" w14:textId="77777777" w:rsidR="001E5877" w:rsidRPr="004374E5" w:rsidRDefault="00442603" w:rsidP="001E5877">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788" w:type="pct"/>
            <w:vAlign w:val="center"/>
          </w:tcPr>
          <w:p w14:paraId="6DAA60B4" w14:textId="77777777" w:rsidR="001E5877" w:rsidRPr="004374E5" w:rsidRDefault="00442603" w:rsidP="001E5877">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83" w:type="pct"/>
            <w:vAlign w:val="center"/>
          </w:tcPr>
          <w:p w14:paraId="3C4CD3AD" w14:textId="77777777" w:rsidR="001E5877" w:rsidRPr="004374E5" w:rsidRDefault="00442603" w:rsidP="001E5877">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38" w:type="pct"/>
            <w:vAlign w:val="center"/>
          </w:tcPr>
          <w:p w14:paraId="6A61581B" w14:textId="77777777" w:rsidR="001E5877" w:rsidRPr="004374E5" w:rsidRDefault="00442603" w:rsidP="001E5877">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83" w:type="pct"/>
            <w:vAlign w:val="center"/>
          </w:tcPr>
          <w:p w14:paraId="337DEFDB" w14:textId="77777777" w:rsidR="001E5877" w:rsidRPr="004374E5" w:rsidRDefault="00442603" w:rsidP="001E5877">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c>
          <w:tcPr>
            <w:tcW w:w="436" w:type="pct"/>
            <w:vAlign w:val="center"/>
          </w:tcPr>
          <w:p w14:paraId="01677B8E" w14:textId="77777777" w:rsidR="001E5877" w:rsidRPr="004374E5" w:rsidRDefault="00442603" w:rsidP="001E5877">
            <w:pPr>
              <w:pBdr>
                <w:top w:val="nil"/>
                <w:left w:val="nil"/>
                <w:bottom w:val="nil"/>
                <w:right w:val="nil"/>
                <w:between w:val="nil"/>
              </w:pBdr>
              <w:rPr>
                <w:rFonts w:ascii="Times New Roman" w:hAnsi="Times New Roman"/>
                <w:color w:val="000000"/>
                <w:sz w:val="20"/>
                <w:szCs w:val="20"/>
              </w:rPr>
            </w:pPr>
            <w:r w:rsidRPr="004374E5">
              <w:rPr>
                <w:rFonts w:ascii="Times New Roman" w:hAnsi="Times New Roman"/>
                <w:color w:val="000000"/>
                <w:sz w:val="20"/>
                <w:szCs w:val="20"/>
              </w:rPr>
              <w:t>-</w:t>
            </w:r>
          </w:p>
        </w:tc>
      </w:tr>
      <w:tr w:rsidR="001E5877" w:rsidRPr="005F024A" w14:paraId="4E6C9917" w14:textId="77777777" w:rsidTr="001E5877">
        <w:trPr>
          <w:trHeight w:val="258"/>
        </w:trPr>
        <w:tc>
          <w:tcPr>
            <w:tcW w:w="1213" w:type="pct"/>
            <w:vMerge w:val="restart"/>
            <w:vAlign w:val="center"/>
          </w:tcPr>
          <w:p w14:paraId="460E611E"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rPr>
            </w:pPr>
          </w:p>
        </w:tc>
        <w:tc>
          <w:tcPr>
            <w:tcW w:w="580" w:type="pct"/>
            <w:vAlign w:val="center"/>
          </w:tcPr>
          <w:p w14:paraId="30B08781"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rPr>
              <w:t>2024-2025</w:t>
            </w:r>
          </w:p>
        </w:tc>
        <w:tc>
          <w:tcPr>
            <w:tcW w:w="580" w:type="pct"/>
            <w:vAlign w:val="center"/>
          </w:tcPr>
          <w:p w14:paraId="7F4B1DE6"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788" w:type="pct"/>
            <w:vAlign w:val="center"/>
          </w:tcPr>
          <w:p w14:paraId="7FC7100A"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12BF49D8"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8" w:type="pct"/>
            <w:vAlign w:val="center"/>
          </w:tcPr>
          <w:p w14:paraId="4F80A0D6"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14A70285"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6" w:type="pct"/>
            <w:vAlign w:val="center"/>
          </w:tcPr>
          <w:p w14:paraId="66185472"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r>
      <w:tr w:rsidR="001E5877" w:rsidRPr="005F024A" w14:paraId="7AEEDFB2" w14:textId="77777777" w:rsidTr="001E5877">
        <w:trPr>
          <w:trHeight w:val="258"/>
        </w:trPr>
        <w:tc>
          <w:tcPr>
            <w:tcW w:w="1213" w:type="pct"/>
            <w:vMerge/>
            <w:vAlign w:val="center"/>
          </w:tcPr>
          <w:p w14:paraId="3739F4FA" w14:textId="77777777" w:rsidR="001E5877" w:rsidRPr="005F024A" w:rsidRDefault="001E5877" w:rsidP="001E5877">
            <w:pPr>
              <w:widowControl w:val="0"/>
              <w:pBdr>
                <w:top w:val="nil"/>
                <w:left w:val="nil"/>
                <w:bottom w:val="nil"/>
                <w:right w:val="nil"/>
                <w:between w:val="nil"/>
              </w:pBdr>
              <w:rPr>
                <w:rFonts w:ascii="Times New Roman" w:hAnsi="Times New Roman"/>
                <w:color w:val="000000"/>
                <w:sz w:val="20"/>
                <w:szCs w:val="20"/>
                <w:highlight w:val="yellow"/>
              </w:rPr>
            </w:pPr>
          </w:p>
        </w:tc>
        <w:tc>
          <w:tcPr>
            <w:tcW w:w="580" w:type="pct"/>
            <w:vAlign w:val="center"/>
          </w:tcPr>
          <w:p w14:paraId="4577EAB2"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r w:rsidRPr="005F024A">
              <w:rPr>
                <w:rFonts w:ascii="Times New Roman" w:hAnsi="Times New Roman"/>
                <w:color w:val="000000"/>
                <w:sz w:val="20"/>
                <w:szCs w:val="20"/>
              </w:rPr>
              <w:t>2023-2024</w:t>
            </w:r>
          </w:p>
        </w:tc>
        <w:tc>
          <w:tcPr>
            <w:tcW w:w="580" w:type="pct"/>
            <w:vAlign w:val="center"/>
          </w:tcPr>
          <w:p w14:paraId="24737A45"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788" w:type="pct"/>
            <w:vAlign w:val="center"/>
          </w:tcPr>
          <w:p w14:paraId="7D26671B"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454E5FEF"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8" w:type="pct"/>
            <w:vAlign w:val="center"/>
          </w:tcPr>
          <w:p w14:paraId="6AC327AB"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5BD5AEC6"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6" w:type="pct"/>
            <w:vAlign w:val="center"/>
          </w:tcPr>
          <w:p w14:paraId="2F9ED219"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r>
      <w:tr w:rsidR="001E5877" w:rsidRPr="005F024A" w14:paraId="4DC79664" w14:textId="77777777" w:rsidTr="001E5877">
        <w:trPr>
          <w:trHeight w:val="258"/>
        </w:trPr>
        <w:tc>
          <w:tcPr>
            <w:tcW w:w="1213" w:type="pct"/>
            <w:vMerge w:val="restart"/>
            <w:vAlign w:val="center"/>
          </w:tcPr>
          <w:p w14:paraId="3908AEF8"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rPr>
            </w:pPr>
          </w:p>
        </w:tc>
        <w:tc>
          <w:tcPr>
            <w:tcW w:w="580" w:type="pct"/>
            <w:vAlign w:val="center"/>
          </w:tcPr>
          <w:p w14:paraId="1D2D2AF3"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r>
              <w:rPr>
                <w:rFonts w:ascii="Times New Roman" w:hAnsi="Times New Roman"/>
                <w:color w:val="000000"/>
                <w:sz w:val="20"/>
                <w:szCs w:val="20"/>
              </w:rPr>
              <w:t>2024-2025</w:t>
            </w:r>
          </w:p>
        </w:tc>
        <w:tc>
          <w:tcPr>
            <w:tcW w:w="580" w:type="pct"/>
            <w:vAlign w:val="center"/>
          </w:tcPr>
          <w:p w14:paraId="68D5715C"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788" w:type="pct"/>
            <w:vAlign w:val="center"/>
          </w:tcPr>
          <w:p w14:paraId="5F6AC264"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1DB06CB8"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8" w:type="pct"/>
            <w:vAlign w:val="center"/>
          </w:tcPr>
          <w:p w14:paraId="14478206"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1653D5FB"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6" w:type="pct"/>
            <w:vAlign w:val="center"/>
          </w:tcPr>
          <w:p w14:paraId="2944C1B2"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r>
      <w:tr w:rsidR="001E5877" w:rsidRPr="005F024A" w14:paraId="4D47BEAF" w14:textId="77777777" w:rsidTr="001E5877">
        <w:trPr>
          <w:trHeight w:val="258"/>
        </w:trPr>
        <w:tc>
          <w:tcPr>
            <w:tcW w:w="1213" w:type="pct"/>
            <w:vMerge/>
            <w:vAlign w:val="center"/>
          </w:tcPr>
          <w:p w14:paraId="7CE1542A" w14:textId="77777777" w:rsidR="001E5877" w:rsidRPr="005F024A" w:rsidRDefault="001E5877" w:rsidP="001E5877">
            <w:pPr>
              <w:widowControl w:val="0"/>
              <w:pBdr>
                <w:top w:val="nil"/>
                <w:left w:val="nil"/>
                <w:bottom w:val="nil"/>
                <w:right w:val="nil"/>
                <w:between w:val="nil"/>
              </w:pBdr>
              <w:rPr>
                <w:rFonts w:ascii="Times New Roman" w:hAnsi="Times New Roman"/>
                <w:color w:val="000000"/>
                <w:sz w:val="20"/>
                <w:szCs w:val="20"/>
                <w:highlight w:val="yellow"/>
              </w:rPr>
            </w:pPr>
          </w:p>
        </w:tc>
        <w:tc>
          <w:tcPr>
            <w:tcW w:w="580" w:type="pct"/>
            <w:vAlign w:val="center"/>
          </w:tcPr>
          <w:p w14:paraId="6B66C74A"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r w:rsidRPr="005F024A">
              <w:rPr>
                <w:rFonts w:ascii="Times New Roman" w:hAnsi="Times New Roman"/>
                <w:color w:val="000000"/>
                <w:sz w:val="20"/>
                <w:szCs w:val="20"/>
              </w:rPr>
              <w:t>2023-2024</w:t>
            </w:r>
          </w:p>
        </w:tc>
        <w:tc>
          <w:tcPr>
            <w:tcW w:w="580" w:type="pct"/>
            <w:vAlign w:val="center"/>
          </w:tcPr>
          <w:p w14:paraId="60F861C9"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788" w:type="pct"/>
            <w:vAlign w:val="center"/>
          </w:tcPr>
          <w:p w14:paraId="33CC3842"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3C970675"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8" w:type="pct"/>
            <w:vAlign w:val="center"/>
          </w:tcPr>
          <w:p w14:paraId="08DF7F1D"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83" w:type="pct"/>
            <w:vAlign w:val="center"/>
          </w:tcPr>
          <w:p w14:paraId="011C2F64"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c>
          <w:tcPr>
            <w:tcW w:w="436" w:type="pct"/>
            <w:vAlign w:val="center"/>
          </w:tcPr>
          <w:p w14:paraId="3152B71E" w14:textId="77777777" w:rsidR="001E5877" w:rsidRPr="005F024A" w:rsidRDefault="001E5877" w:rsidP="001E5877">
            <w:pPr>
              <w:pBdr>
                <w:top w:val="nil"/>
                <w:left w:val="nil"/>
                <w:bottom w:val="nil"/>
                <w:right w:val="nil"/>
                <w:between w:val="nil"/>
              </w:pBdr>
              <w:rPr>
                <w:rFonts w:ascii="Times New Roman" w:hAnsi="Times New Roman"/>
                <w:color w:val="000000"/>
                <w:sz w:val="20"/>
                <w:szCs w:val="20"/>
                <w:highlight w:val="yellow"/>
              </w:rPr>
            </w:pPr>
          </w:p>
        </w:tc>
      </w:tr>
    </w:tbl>
    <w:p w14:paraId="546B1B2C"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sz w:val="24"/>
          <w:szCs w:val="24"/>
        </w:rPr>
      </w:pPr>
    </w:p>
    <w:p w14:paraId="2BFE562E"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.2.4. </w:t>
      </w:r>
      <w:r w:rsidRPr="005F024A">
        <w:rPr>
          <w:rFonts w:ascii="Times New Roman" w:eastAsia="Times New Roman" w:hAnsi="Times New Roman"/>
          <w:b/>
          <w:color w:val="000000"/>
        </w:rPr>
        <w:t>Yeterliliklerin sertifikalandırılması ve diploma</w:t>
      </w:r>
    </w:p>
    <w:p w14:paraId="573CEB77"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Öğrencinin akademik ve kariyer gelişimini izlemek, diploma onayı ve yeterliliklerin sertifikalandırılmasına ilişkin tanımlı süreçler ve mevcut uygulamalar </w:t>
      </w:r>
    </w:p>
    <w:p w14:paraId="57221C61"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Merkezi yerleştirmeyle gelen öğrenci grupları dışında kalan yatay geçiş, yabancı uyruklu öğrenci sınavı (YÖS), çift anadal programı (ÇAP), </w:t>
      </w:r>
      <w:proofErr w:type="spellStart"/>
      <w:r w:rsidRPr="005F024A">
        <w:rPr>
          <w:rFonts w:ascii="Times New Roman" w:hAnsi="Times New Roman"/>
        </w:rPr>
        <w:t>yandal</w:t>
      </w:r>
      <w:proofErr w:type="spellEnd"/>
      <w:r w:rsidRPr="005F024A">
        <w:rPr>
          <w:rFonts w:ascii="Times New Roman" w:hAnsi="Times New Roman"/>
        </w:rPr>
        <w:t xml:space="preserve"> öğrenci kabullerinde uygulanan kriterler </w:t>
      </w:r>
    </w:p>
    <w:p w14:paraId="52A7A182"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 xml:space="preserve">Öğrenci iş yükü kredisinin değişim programlarında herhangi bir ek çalışmaya gerek kalmaksızın tanındığını gösteren belgeler* </w:t>
      </w:r>
    </w:p>
    <w:p w14:paraId="03EBE421" w14:textId="77777777" w:rsidR="001E62B5" w:rsidRPr="005F024A" w:rsidRDefault="001E62B5" w:rsidP="001E62B5">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0B9B68AF" w14:textId="77777777" w:rsidR="001E62B5" w:rsidRPr="005F024A" w:rsidRDefault="001E62B5" w:rsidP="001E62B5">
      <w:pPr>
        <w:widowControl w:val="0"/>
        <w:spacing w:after="0" w:line="360" w:lineRule="auto"/>
        <w:ind w:left="507" w:right="63" w:hanging="389"/>
        <w:jc w:val="both"/>
        <w:rPr>
          <w:rFonts w:ascii="Times New Roman" w:eastAsia="Times New Roman" w:hAnsi="Times New Roman"/>
          <w:sz w:val="24"/>
          <w:szCs w:val="24"/>
        </w:rPr>
      </w:pPr>
    </w:p>
    <w:p w14:paraId="640BB8DF" w14:textId="77777777" w:rsidR="001E62B5" w:rsidRPr="005F024A" w:rsidRDefault="001E62B5" w:rsidP="001E62B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30C01ECD" w14:textId="77777777" w:rsidR="001E62B5" w:rsidRPr="005F024A" w:rsidRDefault="001E62B5" w:rsidP="001E62B5">
      <w:pPr>
        <w:widowControl w:val="0"/>
        <w:spacing w:after="0" w:line="360" w:lineRule="auto"/>
        <w:ind w:left="507" w:right="63"/>
        <w:jc w:val="both"/>
        <w:rPr>
          <w:rFonts w:ascii="Times New Roman" w:eastAsia="Times New Roman" w:hAnsi="Times New Roman"/>
          <w:b/>
          <w:sz w:val="24"/>
          <w:szCs w:val="24"/>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556A6581"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223116">
        <w:rPr>
          <w:rFonts w:ascii="Times New Roman" w:eastAsia="Times New Roman" w:hAnsi="Times New Roman"/>
          <w:b/>
          <w:i/>
          <w:color w:val="000000"/>
          <w:sz w:val="24"/>
        </w:rPr>
        <w:t>B.3.1. Öğrenme ortam ve kaynakları</w:t>
      </w:r>
    </w:p>
    <w:p w14:paraId="6DC4E731"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 ve bu kaynakların yeterlilik durumu, geliştirilmesine ilişkin planlamalar ve uygulamalar </w:t>
      </w:r>
    </w:p>
    <w:p w14:paraId="35E64121"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Öğrenci el kitabı (kurumun sunduğu öğrenme ortan ve kaynaklarını anlatan) ● Öğrencilerin (kütüphane, </w:t>
      </w:r>
      <w:proofErr w:type="spellStart"/>
      <w:r w:rsidRPr="005F024A">
        <w:rPr>
          <w:rFonts w:ascii="Times New Roman" w:hAnsi="Times New Roman"/>
        </w:rPr>
        <w:t>labaratuvar</w:t>
      </w:r>
      <w:proofErr w:type="spellEnd"/>
      <w:r w:rsidRPr="005F024A">
        <w:rPr>
          <w:rFonts w:ascii="Times New Roman" w:hAnsi="Times New Roman"/>
        </w:rPr>
        <w:t xml:space="preserve"> </w:t>
      </w:r>
      <w:proofErr w:type="spellStart"/>
      <w:r w:rsidRPr="005F024A">
        <w:rPr>
          <w:rFonts w:ascii="Times New Roman" w:hAnsi="Times New Roman"/>
        </w:rPr>
        <w:t>vb</w:t>
      </w:r>
      <w:proofErr w:type="spellEnd"/>
      <w:r w:rsidRPr="005F024A">
        <w:rPr>
          <w:rFonts w:ascii="Times New Roman" w:hAnsi="Times New Roman"/>
        </w:rPr>
        <w:t xml:space="preserve">) erişim analizleri </w:t>
      </w:r>
    </w:p>
    <w:p w14:paraId="5D5D726B"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kaynaklarına erişilebilirlik kanıtları (Uzaktan eğitim dahil) </w:t>
      </w:r>
    </w:p>
    <w:p w14:paraId="64FB4E22"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yönetim sistemi uygulamalarına ilişkin örnekler </w:t>
      </w:r>
    </w:p>
    <w:p w14:paraId="17F15156"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lastRenderedPageBreak/>
        <w:t xml:space="preserve">Öğrencilere sunulan öğrenme kaynakları ile ilgili öğrenci geri bildirim araçları (Anketler vb.) </w:t>
      </w:r>
    </w:p>
    <w:p w14:paraId="1FCA01B2"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Öğrenme kaynaklarının düzenli izlendiğine ve iyileştirildiğine ilişkin kanıtlar </w:t>
      </w:r>
    </w:p>
    <w:p w14:paraId="23AFDF02" w14:textId="77777777" w:rsidR="001E62B5" w:rsidRPr="005F024A" w:rsidRDefault="001E62B5" w:rsidP="001E62B5">
      <w:pPr>
        <w:widowControl w:val="0"/>
        <w:numPr>
          <w:ilvl w:val="0"/>
          <w:numId w:val="31"/>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2D0B254C"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B</w:t>
      </w:r>
      <w:r w:rsidRPr="005F024A">
        <w:rPr>
          <w:rFonts w:ascii="Times New Roman" w:eastAsia="Times New Roman" w:hAnsi="Times New Roman"/>
          <w:b/>
          <w:i/>
          <w:color w:val="000000"/>
        </w:rPr>
        <w:t xml:space="preserve">.3.2. </w:t>
      </w:r>
      <w:r w:rsidRPr="005F024A">
        <w:rPr>
          <w:rFonts w:ascii="Times New Roman" w:eastAsia="Times New Roman" w:hAnsi="Times New Roman"/>
          <w:b/>
          <w:color w:val="000000"/>
        </w:rPr>
        <w:t>Akademik destek hizmetleri</w:t>
      </w:r>
    </w:p>
    <w:p w14:paraId="1FA298B9"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Akademik destek hizmetleri için kullanılan </w:t>
      </w:r>
      <w:proofErr w:type="spellStart"/>
      <w:r w:rsidRPr="005F024A">
        <w:rPr>
          <w:rFonts w:ascii="Times New Roman" w:hAnsi="Times New Roman"/>
        </w:rPr>
        <w:t>kullanılan</w:t>
      </w:r>
      <w:proofErr w:type="spellEnd"/>
      <w:r w:rsidRPr="005F024A">
        <w:rPr>
          <w:rFonts w:ascii="Times New Roman" w:hAnsi="Times New Roman"/>
        </w:rPr>
        <w:t xml:space="preserve"> tanımlı süreçler </w:t>
      </w:r>
    </w:p>
    <w:p w14:paraId="3BC9A8F4"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Varsa uzaktan eğitimde akademik ve teknik öğrenci danışmanlığı mekanizmaları ve tanımlı süreçler </w:t>
      </w:r>
    </w:p>
    <w:p w14:paraId="426377E0"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Öğrencilerin danışmanlara erişimine ilişkin mekanizmalar </w:t>
      </w:r>
    </w:p>
    <w:p w14:paraId="7CFAA10A"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Psikolojik danışmanlık veya kariyer merkezi organizasyonel yapılanması </w:t>
      </w:r>
    </w:p>
    <w:p w14:paraId="36010694"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Rehberlik, psikolojik danışmanlık ve kariyer hizmetlerine ilişkin planlama ve uygulamalar </w:t>
      </w:r>
    </w:p>
    <w:p w14:paraId="60661EAD"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Kariyer merkezi uygulamaları </w:t>
      </w:r>
    </w:p>
    <w:p w14:paraId="48B3B48E"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Öğrencilerin katılımına ilişkin kanıtlar </w:t>
      </w:r>
    </w:p>
    <w:p w14:paraId="31228008"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Öğrencilere sunulan hizmetlerle ilgili öğrenci geri bildirim araçlarının sonuçları ve izleme kanıtları </w:t>
      </w:r>
    </w:p>
    <w:p w14:paraId="13968196"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 xml:space="preserve">Sürece ilişkin yapılan güncelleme ve iyileştirme kanıtları </w:t>
      </w:r>
    </w:p>
    <w:p w14:paraId="0FF60055" w14:textId="77777777" w:rsidR="001E62B5" w:rsidRPr="005F024A" w:rsidRDefault="001E62B5" w:rsidP="001E62B5">
      <w:pPr>
        <w:widowControl w:val="0"/>
        <w:numPr>
          <w:ilvl w:val="0"/>
          <w:numId w:val="3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6B777021"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6015851E" w14:textId="77777777" w:rsidR="001E62B5" w:rsidRPr="005F024A" w:rsidRDefault="001E62B5" w:rsidP="001E62B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34A0B5BA"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B.3.3. </w:t>
      </w:r>
      <w:r w:rsidRPr="00223116">
        <w:rPr>
          <w:rFonts w:ascii="Times New Roman" w:eastAsia="Times New Roman" w:hAnsi="Times New Roman"/>
          <w:b/>
          <w:color w:val="000000"/>
          <w:sz w:val="24"/>
        </w:rPr>
        <w:t>Tesis ve altyapılar</w:t>
      </w:r>
    </w:p>
    <w:p w14:paraId="146874A5"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altyapının kullanımına yönelik ilke ve kurallar </w:t>
      </w:r>
    </w:p>
    <w:p w14:paraId="064F89C7"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Erişim ve kullanıma ilişkin uygulamalar </w:t>
      </w:r>
    </w:p>
    <w:p w14:paraId="346554BC"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altyapının kurumsal büyüme ile ilişkili olarak gelişim durumu (Örneğin, birim sayısındaki artış ile fiziksel alanlardaki artış arasındaki ilişki gibi) </w:t>
      </w:r>
    </w:p>
    <w:p w14:paraId="2E70880A"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Kurumda uzaktan eğitim programları ve uygulamaları varsa; bunlara yönelik alt yapı, tesis, donanım ve yazılım durumları </w:t>
      </w:r>
    </w:p>
    <w:p w14:paraId="2E1FB602" w14:textId="77777777" w:rsidR="001E62B5" w:rsidRPr="005F024A"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 xml:space="preserve">Tesis ve altyapı hizmetlerinin izlenmesi, çeşitlendirilmesi ve iyileştirilmesine ilişkin kanıtlar </w:t>
      </w:r>
    </w:p>
    <w:p w14:paraId="1196446B" w14:textId="77777777" w:rsidR="001E62B5" w:rsidRPr="00223116" w:rsidRDefault="001E62B5" w:rsidP="001E62B5">
      <w:pPr>
        <w:widowControl w:val="0"/>
        <w:numPr>
          <w:ilvl w:val="0"/>
          <w:numId w:val="33"/>
        </w:numPr>
        <w:pBdr>
          <w:top w:val="nil"/>
          <w:left w:val="nil"/>
          <w:bottom w:val="nil"/>
          <w:right w:val="nil"/>
          <w:between w:val="nil"/>
        </w:pBdr>
        <w:spacing w:after="0"/>
        <w:ind w:left="426" w:right="63" w:hanging="284"/>
        <w:jc w:val="both"/>
        <w:rPr>
          <w:rFonts w:ascii="Times New Roman" w:hAnsi="Times New Roman"/>
          <w:color w:val="000000"/>
          <w:sz w:val="10"/>
          <w:szCs w:val="10"/>
        </w:rPr>
      </w:pPr>
      <w:r w:rsidRPr="005F024A">
        <w:rPr>
          <w:rFonts w:ascii="Times New Roman" w:hAnsi="Times New Roman"/>
        </w:rPr>
        <w:t>Standart uygulamalar ve mevzuatın yanı sıra kurumun ihtiyaçları doğrultusunda geliştirdiği özgün yaklaşım ve uygulamalarına ilişkin kanıtlar</w:t>
      </w:r>
    </w:p>
    <w:p w14:paraId="4CCB809B" w14:textId="77777777" w:rsidR="001E62B5" w:rsidRPr="005F024A" w:rsidRDefault="001E62B5" w:rsidP="001E62B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36119BF1"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B.3.4. </w:t>
      </w:r>
      <w:r w:rsidRPr="00223116">
        <w:rPr>
          <w:rFonts w:ascii="Times New Roman" w:eastAsia="Times New Roman" w:hAnsi="Times New Roman"/>
          <w:b/>
          <w:color w:val="000000"/>
          <w:sz w:val="24"/>
        </w:rPr>
        <w:t xml:space="preserve">Dezavantajlı gruplar </w:t>
      </w:r>
    </w:p>
    <w:p w14:paraId="5C983A06"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Dezavantajlı öğrenci gruplarına sunulacak hizmetlerle ilgili planlama ve uygulamalar (Kurullarda temsil, engelsiz üniversite uygulamaları, varsa uzaktan eğitim süreçlerindeki uygulamalar vb.) </w:t>
      </w:r>
    </w:p>
    <w:p w14:paraId="56F6F156"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Dezavantajlı gruplardan alınan geri bildirimlerin izleme ve iyileştirme mekanizmalarında kullanıldığına ilişkin belgeler </w:t>
      </w:r>
    </w:p>
    <w:p w14:paraId="5A95656E"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Engelsiz üniversite uygulamalarına ilişkin izleme ve iyileştirme kanıtları</w:t>
      </w:r>
    </w:p>
    <w:p w14:paraId="30610A19" w14:textId="77777777" w:rsidR="001E62B5" w:rsidRPr="005F024A" w:rsidRDefault="001E62B5" w:rsidP="001E62B5">
      <w:pPr>
        <w:widowControl w:val="0"/>
        <w:numPr>
          <w:ilvl w:val="0"/>
          <w:numId w:val="1"/>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Standart uygulamalar ve mevzuatın yanı sıra kurumun ihtiyaçları doğrultusunda geliştirdiği özgün yaklaşım ve uygulamalarına ilişkin kanıtlar</w:t>
      </w:r>
    </w:p>
    <w:p w14:paraId="15CD3275" w14:textId="77777777" w:rsidR="001E62B5" w:rsidRPr="005F024A" w:rsidRDefault="001E62B5" w:rsidP="001E62B5">
      <w:pPr>
        <w:widowControl w:val="0"/>
        <w:pBdr>
          <w:top w:val="nil"/>
          <w:left w:val="nil"/>
          <w:bottom w:val="nil"/>
          <w:right w:val="nil"/>
          <w:between w:val="nil"/>
        </w:pBdr>
        <w:spacing w:after="0"/>
        <w:ind w:left="720" w:right="63"/>
        <w:jc w:val="both"/>
        <w:rPr>
          <w:rFonts w:ascii="Times New Roman" w:eastAsia="Times New Roman" w:hAnsi="Times New Roman"/>
          <w:b/>
          <w:color w:val="000000"/>
        </w:rPr>
      </w:pPr>
    </w:p>
    <w:p w14:paraId="7C157004" w14:textId="77777777" w:rsidR="001E62B5" w:rsidRPr="00223116"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223116">
        <w:rPr>
          <w:rFonts w:ascii="Times New Roman" w:eastAsia="Times New Roman" w:hAnsi="Times New Roman"/>
          <w:b/>
          <w:i/>
          <w:color w:val="000000"/>
          <w:sz w:val="24"/>
        </w:rPr>
        <w:t xml:space="preserve">B.3.5. </w:t>
      </w:r>
      <w:r w:rsidRPr="00223116">
        <w:rPr>
          <w:rFonts w:ascii="Times New Roman" w:eastAsia="Times New Roman" w:hAnsi="Times New Roman"/>
          <w:b/>
          <w:color w:val="000000"/>
          <w:sz w:val="24"/>
        </w:rPr>
        <w:t>Sosyal, kültürel, sportif faaliyetler</w:t>
      </w:r>
    </w:p>
    <w:p w14:paraId="5D774E86"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Sosyal, kültürel ve sportif faaliyetlerin planlanması ve yürütülmesine ilişkin kanıtlar </w:t>
      </w:r>
    </w:p>
    <w:p w14:paraId="450C5B4C"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Yıl içerisinde öğrencilere yönelik yıllık sportif, kültürel, sosyal faaliyetlerin listesi (Faaliyet türü, konusu, katılımcı sayısı vb. bilgilerle) </w:t>
      </w:r>
    </w:p>
    <w:p w14:paraId="06174CAD"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Faaliyetlerin erişilebilirliği ve fırsat eşitliğini gözettiğine dair kanıt örnekleri </w:t>
      </w:r>
    </w:p>
    <w:p w14:paraId="46E54910"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rPr>
      </w:pPr>
      <w:r w:rsidRPr="005F024A">
        <w:rPr>
          <w:rFonts w:ascii="Times New Roman" w:hAnsi="Times New Roman"/>
        </w:rPr>
        <w:t xml:space="preserve">Faaliyetlerin çeşitliliği ve paydaş geribildirimlerinin göze alındığını gösteren kanıtlar </w:t>
      </w:r>
    </w:p>
    <w:p w14:paraId="6530B7D6"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color w:val="000000"/>
        </w:rPr>
      </w:pPr>
      <w:r w:rsidRPr="005F024A">
        <w:rPr>
          <w:rFonts w:ascii="Times New Roman" w:hAnsi="Times New Roman"/>
        </w:rPr>
        <w:t xml:space="preserve">Sosyal, kültürel ve sportif faaliyetlerin izlenmesine ilişkin araçlar, izleme raporları, iyileştirme ve çeşitlendirme kanıtları </w:t>
      </w:r>
    </w:p>
    <w:p w14:paraId="19098275" w14:textId="77777777" w:rsidR="001E62B5" w:rsidRPr="005F024A" w:rsidRDefault="001E62B5" w:rsidP="001E62B5">
      <w:pPr>
        <w:widowControl w:val="0"/>
        <w:numPr>
          <w:ilvl w:val="0"/>
          <w:numId w:val="2"/>
        </w:numPr>
        <w:pBdr>
          <w:top w:val="nil"/>
          <w:left w:val="nil"/>
          <w:bottom w:val="nil"/>
          <w:right w:val="nil"/>
          <w:between w:val="nil"/>
        </w:pBdr>
        <w:spacing w:after="0"/>
        <w:ind w:left="426" w:right="63" w:hanging="284"/>
        <w:jc w:val="both"/>
        <w:rPr>
          <w:rFonts w:ascii="Times New Roman" w:hAnsi="Times New Roman"/>
          <w:color w:val="000000"/>
        </w:rPr>
      </w:pPr>
      <w:r w:rsidRPr="005F024A">
        <w:rPr>
          <w:rFonts w:ascii="Times New Roman" w:hAnsi="Times New Roman"/>
        </w:rPr>
        <w:t>Standart uygulamalar ve mevzuatın yanı sıra kurumun ihtiyaçları doğrultusunda geliştirdiği özgün yaklaşım ve uygulamalarına ilişkin kanıtlar</w:t>
      </w:r>
    </w:p>
    <w:p w14:paraId="1CDE83B2" w14:textId="77777777" w:rsidR="001E62B5" w:rsidRPr="005F024A" w:rsidRDefault="001E62B5" w:rsidP="001E62B5">
      <w:pPr>
        <w:widowControl w:val="0"/>
        <w:spacing w:after="0" w:line="240" w:lineRule="auto"/>
        <w:ind w:right="62"/>
        <w:jc w:val="both"/>
        <w:rPr>
          <w:rFonts w:ascii="Times New Roman" w:eastAsia="Times New Roman" w:hAnsi="Times New Roman"/>
          <w:b/>
          <w:sz w:val="24"/>
          <w:szCs w:val="24"/>
        </w:rPr>
      </w:pPr>
    </w:p>
    <w:p w14:paraId="1F6EF831" w14:textId="77777777" w:rsidR="001E62B5" w:rsidRPr="005F024A" w:rsidRDefault="001E62B5" w:rsidP="001E62B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7F342FF0" w14:textId="77777777" w:rsidR="001E62B5" w:rsidRPr="005F024A" w:rsidRDefault="001E62B5" w:rsidP="001E62B5">
      <w:pPr>
        <w:widowControl w:val="0"/>
        <w:spacing w:after="0" w:line="360" w:lineRule="auto"/>
        <w:ind w:left="510" w:right="62"/>
        <w:jc w:val="both"/>
        <w:rPr>
          <w:rFonts w:ascii="Times New Roman" w:eastAsia="Times New Roman" w:hAnsi="Times New Roman"/>
          <w:b/>
          <w:sz w:val="24"/>
          <w:szCs w:val="24"/>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101FF69D"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r>
        <w:rPr>
          <w:rFonts w:ascii="Times New Roman" w:hAnsi="Times New Roman"/>
          <w:b/>
          <w:i/>
          <w:sz w:val="24"/>
        </w:rPr>
        <w:t>B</w:t>
      </w:r>
      <w:r w:rsidRPr="005F024A">
        <w:rPr>
          <w:rFonts w:ascii="Times New Roman" w:hAnsi="Times New Roman"/>
          <w:b/>
          <w:i/>
          <w:sz w:val="24"/>
        </w:rPr>
        <w:t>.4.1. Atama, yükseltme ve görevlendirme kriterleri</w:t>
      </w:r>
    </w:p>
    <w:p w14:paraId="35449238" w14:textId="77777777" w:rsidR="001E62B5" w:rsidRPr="005F024A" w:rsidRDefault="001E62B5" w:rsidP="001E62B5">
      <w:pPr>
        <w:widowControl w:val="0"/>
        <w:numPr>
          <w:ilvl w:val="0"/>
          <w:numId w:val="3"/>
        </w:numPr>
        <w:spacing w:after="0"/>
        <w:ind w:left="426" w:right="63" w:hanging="284"/>
        <w:jc w:val="both"/>
        <w:rPr>
          <w:rFonts w:ascii="Times New Roman" w:hAnsi="Times New Roman"/>
        </w:rPr>
      </w:pPr>
      <w:r w:rsidRPr="005F024A">
        <w:rPr>
          <w:rFonts w:ascii="Times New Roman" w:hAnsi="Times New Roman"/>
        </w:rPr>
        <w:t xml:space="preserve">Öğretim elemanı atama, yükseltme ve görevlendirme kriterlerinin tanımlı ve kamuoyuna açık olduğunu gösterir kanıtlar </w:t>
      </w:r>
    </w:p>
    <w:p w14:paraId="22AA3621" w14:textId="77777777" w:rsidR="001E62B5" w:rsidRPr="005F024A" w:rsidRDefault="001E62B5" w:rsidP="001E62B5">
      <w:pPr>
        <w:widowControl w:val="0"/>
        <w:numPr>
          <w:ilvl w:val="0"/>
          <w:numId w:val="3"/>
        </w:numPr>
        <w:spacing w:after="0"/>
        <w:ind w:left="426" w:right="63" w:hanging="284"/>
        <w:jc w:val="both"/>
        <w:rPr>
          <w:rFonts w:ascii="Times New Roman" w:hAnsi="Times New Roman"/>
        </w:rPr>
      </w:pPr>
      <w:r w:rsidRPr="005F024A">
        <w:rPr>
          <w:rFonts w:ascii="Times New Roman" w:hAnsi="Times New Roman"/>
        </w:rPr>
        <w:t xml:space="preserve">Akademik kadronun uzmanlık alanı ile yürüttükleri ders arasında uyumun sağlanmasına yönelik uygulamalar </w:t>
      </w:r>
    </w:p>
    <w:p w14:paraId="76EB43E9" w14:textId="77777777" w:rsidR="001E62B5" w:rsidRPr="005F024A" w:rsidRDefault="001E62B5" w:rsidP="001E62B5">
      <w:pPr>
        <w:widowControl w:val="0"/>
        <w:numPr>
          <w:ilvl w:val="0"/>
          <w:numId w:val="3"/>
        </w:numPr>
        <w:spacing w:after="0"/>
        <w:ind w:left="426" w:right="63" w:hanging="284"/>
        <w:jc w:val="both"/>
        <w:rPr>
          <w:rFonts w:ascii="Times New Roman" w:eastAsia="Times New Roman" w:hAnsi="Times New Roman"/>
          <w:b/>
          <w:i/>
        </w:rPr>
      </w:pPr>
      <w:r w:rsidRPr="005F024A">
        <w:rPr>
          <w:rFonts w:ascii="Times New Roman" w:hAnsi="Times New Roman"/>
        </w:rPr>
        <w:t xml:space="preserve">Atama, yükseltme ve görevlendirme kriterleri izleme ve iyileştirme kanıtları </w:t>
      </w:r>
    </w:p>
    <w:p w14:paraId="3A993D21" w14:textId="77777777" w:rsidR="001E62B5" w:rsidRPr="005F024A" w:rsidRDefault="001E62B5" w:rsidP="001E62B5">
      <w:pPr>
        <w:widowControl w:val="0"/>
        <w:numPr>
          <w:ilvl w:val="0"/>
          <w:numId w:val="3"/>
        </w:numPr>
        <w:spacing w:after="0"/>
        <w:ind w:left="426" w:right="63" w:hanging="284"/>
        <w:jc w:val="both"/>
        <w:rPr>
          <w:rFonts w:ascii="Times New Roman" w:eastAsia="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23CADBA7" w14:textId="77777777" w:rsidR="001E62B5" w:rsidRPr="005F024A" w:rsidRDefault="001E62B5" w:rsidP="001E62B5">
      <w:pPr>
        <w:widowControl w:val="0"/>
        <w:spacing w:after="0"/>
        <w:ind w:right="63"/>
        <w:jc w:val="both"/>
        <w:rPr>
          <w:rFonts w:ascii="Times New Roman" w:eastAsia="Times New Roman" w:hAnsi="Times New Roman"/>
          <w:b/>
          <w:i/>
        </w:rPr>
      </w:pPr>
    </w:p>
    <w:p w14:paraId="38596624" w14:textId="77777777" w:rsidR="001E62B5" w:rsidRPr="005F024A" w:rsidRDefault="001E62B5" w:rsidP="001E62B5">
      <w:pPr>
        <w:widowControl w:val="0"/>
        <w:spacing w:after="0" w:line="360" w:lineRule="auto"/>
        <w:ind w:left="510" w:right="62" w:hanging="391"/>
        <w:jc w:val="both"/>
        <w:rPr>
          <w:rFonts w:ascii="Times New Roman" w:hAnsi="Times New Roman"/>
          <w:b/>
          <w:i/>
          <w:sz w:val="24"/>
        </w:rPr>
      </w:pPr>
      <w:r>
        <w:rPr>
          <w:rFonts w:ascii="Times New Roman" w:hAnsi="Times New Roman"/>
          <w:b/>
          <w:i/>
          <w:sz w:val="24"/>
        </w:rPr>
        <w:t>B</w:t>
      </w:r>
      <w:r w:rsidRPr="005F024A">
        <w:rPr>
          <w:rFonts w:ascii="Times New Roman" w:hAnsi="Times New Roman"/>
          <w:b/>
          <w:i/>
          <w:sz w:val="24"/>
        </w:rPr>
        <w:t>.4.2. Öğretim yetkinlikleri ve gelişimi</w:t>
      </w:r>
    </w:p>
    <w:p w14:paraId="58B05010"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Eğiticilerin eğitimi uygulamalarına ilişkin planlamalara (kapsamı, veriliş yöntemi, katılım bilgileri vb.) ait kanıtlar (Uzaktan eğitim uygulamaları dahil) </w:t>
      </w:r>
    </w:p>
    <w:p w14:paraId="7EFC5F9C"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Öğrenme öğretme merkezi uygulamalarına ilişkin kanıtlar </w:t>
      </w:r>
    </w:p>
    <w:p w14:paraId="32ECCFCB"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Eğiticilerin eğitimi uygulamalarına (kapsamı, veriliş yöntemi, katılım bilgileri vb.) ilişkin kanıtlar (Uzaktan eğitim uygulamaları dahil) </w:t>
      </w:r>
    </w:p>
    <w:p w14:paraId="41EC7CC8"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Eğiticilerin eğitimi dışında öğretim elemanı öğretim yetkinliğinin geliştirilmesine yönelik uygulamalar </w:t>
      </w:r>
    </w:p>
    <w:p w14:paraId="287BDCEC"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Eğitim kadrosunun eğitim-öğretim performansını izleme süreçlerini gösteren belgeler ve dokümanlar </w:t>
      </w:r>
    </w:p>
    <w:p w14:paraId="32D72287"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rPr>
      </w:pPr>
      <w:r w:rsidRPr="005F024A">
        <w:rPr>
          <w:rFonts w:ascii="Times New Roman" w:hAnsi="Times New Roman"/>
        </w:rPr>
        <w:t xml:space="preserve">Öğretim elemanlarının izleme ve iyileştirme süreçlerine katılımını gösteren kanıtlar </w:t>
      </w:r>
    </w:p>
    <w:p w14:paraId="025451E4"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b/>
          <w:i/>
          <w:sz w:val="24"/>
        </w:rPr>
      </w:pPr>
      <w:r w:rsidRPr="005F024A">
        <w:rPr>
          <w:rFonts w:ascii="Times New Roman" w:hAnsi="Times New Roman"/>
        </w:rPr>
        <w:t xml:space="preserve">Öğretim yetkinliği geliştirme süreçlerine ilişkin izleme ve iyileştirme kanıtları </w:t>
      </w:r>
    </w:p>
    <w:p w14:paraId="77D637D2" w14:textId="77777777" w:rsidR="001E62B5" w:rsidRPr="005F024A" w:rsidRDefault="001E62B5" w:rsidP="001E62B5">
      <w:pPr>
        <w:widowControl w:val="0"/>
        <w:numPr>
          <w:ilvl w:val="0"/>
          <w:numId w:val="4"/>
        </w:numPr>
        <w:spacing w:after="0" w:line="360" w:lineRule="auto"/>
        <w:ind w:left="426" w:right="62" w:hanging="284"/>
        <w:jc w:val="both"/>
        <w:rPr>
          <w:rFonts w:ascii="Times New Roman" w:hAnsi="Times New Roman"/>
          <w:b/>
          <w:i/>
          <w:sz w:val="24"/>
        </w:rPr>
      </w:pPr>
      <w:r w:rsidRPr="005F024A">
        <w:rPr>
          <w:rFonts w:ascii="Times New Roman" w:hAnsi="Times New Roman"/>
        </w:rPr>
        <w:t>Standart uygulamalar ve mevzuatın yanı sıra kurumun ihtiyaçları doğrultusunda geliştirdiği özgün yaklaşım ve uygulamalarına ilişkin kanıtlar</w:t>
      </w:r>
    </w:p>
    <w:p w14:paraId="702862A2" w14:textId="1584DAFA" w:rsidR="001E62B5" w:rsidRPr="005F024A"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3. Birimin Öğretim Kadrosu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14"/>
        <w:gridCol w:w="2123"/>
        <w:gridCol w:w="926"/>
        <w:gridCol w:w="926"/>
        <w:gridCol w:w="1037"/>
        <w:gridCol w:w="788"/>
        <w:gridCol w:w="948"/>
      </w:tblGrid>
      <w:tr w:rsidR="001E62B5" w:rsidRPr="005F024A" w14:paraId="014078C8" w14:textId="77777777" w:rsidTr="00243BD6">
        <w:trPr>
          <w:trHeight w:val="511"/>
        </w:trPr>
        <w:tc>
          <w:tcPr>
            <w:tcW w:w="1277" w:type="pct"/>
            <w:vMerge w:val="restart"/>
            <w:vAlign w:val="center"/>
          </w:tcPr>
          <w:p w14:paraId="585CCE9F" w14:textId="77777777" w:rsidR="001E62B5" w:rsidRPr="005F024A" w:rsidRDefault="001E62B5" w:rsidP="00EB1A4D">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Öğretim Elemanının Unvanı ve Adı</w:t>
            </w:r>
          </w:p>
        </w:tc>
        <w:tc>
          <w:tcPr>
            <w:tcW w:w="1171" w:type="pct"/>
            <w:vMerge w:val="restart"/>
            <w:vAlign w:val="center"/>
          </w:tcPr>
          <w:p w14:paraId="7B6F87A5" w14:textId="77777777" w:rsidR="001E62B5" w:rsidRPr="005F024A" w:rsidRDefault="001E62B5" w:rsidP="00EB1A4D">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 xml:space="preserve">Mezun </w:t>
            </w:r>
          </w:p>
          <w:p w14:paraId="00B3B5A3" w14:textId="77777777" w:rsidR="001E62B5" w:rsidRPr="005F024A" w:rsidRDefault="001E62B5" w:rsidP="00EB1A4D">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Olduğu</w:t>
            </w:r>
          </w:p>
          <w:p w14:paraId="094BE8E3" w14:textId="77777777" w:rsidR="001E62B5" w:rsidRPr="005F024A" w:rsidRDefault="001E62B5" w:rsidP="00EB1A4D">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 xml:space="preserve"> Son Kurum ve </w:t>
            </w:r>
          </w:p>
          <w:p w14:paraId="4032088F" w14:textId="77777777" w:rsidR="001E62B5" w:rsidRPr="005F024A" w:rsidRDefault="001E62B5" w:rsidP="00EB1A4D">
            <w:pPr>
              <w:pBdr>
                <w:top w:val="nil"/>
                <w:left w:val="nil"/>
                <w:bottom w:val="nil"/>
                <w:right w:val="nil"/>
                <w:between w:val="nil"/>
              </w:pBdr>
              <w:rPr>
                <w:rFonts w:ascii="Times New Roman" w:hAnsi="Times New Roman"/>
                <w:b/>
                <w:color w:val="000000"/>
              </w:rPr>
            </w:pPr>
            <w:r w:rsidRPr="005F024A">
              <w:rPr>
                <w:rFonts w:ascii="Times New Roman" w:hAnsi="Times New Roman"/>
                <w:b/>
                <w:color w:val="000000"/>
              </w:rPr>
              <w:t>Mezuniyet Yılı</w:t>
            </w:r>
          </w:p>
        </w:tc>
        <w:tc>
          <w:tcPr>
            <w:tcW w:w="1594" w:type="pct"/>
            <w:gridSpan w:val="3"/>
            <w:vAlign w:val="center"/>
          </w:tcPr>
          <w:p w14:paraId="5A7F2EDA" w14:textId="77777777" w:rsidR="001E62B5" w:rsidRPr="005F024A" w:rsidRDefault="001E62B5" w:rsidP="00EB1A4D">
            <w:pPr>
              <w:pBdr>
                <w:top w:val="nil"/>
                <w:left w:val="nil"/>
                <w:bottom w:val="nil"/>
                <w:right w:val="nil"/>
                <w:between w:val="nil"/>
              </w:pBdr>
              <w:jc w:val="center"/>
              <w:rPr>
                <w:rFonts w:ascii="Times New Roman" w:hAnsi="Times New Roman"/>
                <w:b/>
                <w:color w:val="000000"/>
              </w:rPr>
            </w:pPr>
            <w:r w:rsidRPr="005F024A">
              <w:rPr>
                <w:rFonts w:ascii="Times New Roman" w:hAnsi="Times New Roman"/>
                <w:b/>
                <w:color w:val="000000"/>
              </w:rPr>
              <w:t>Deneyim Süresi</w:t>
            </w:r>
          </w:p>
        </w:tc>
        <w:tc>
          <w:tcPr>
            <w:tcW w:w="958" w:type="pct"/>
            <w:gridSpan w:val="2"/>
            <w:vAlign w:val="center"/>
          </w:tcPr>
          <w:p w14:paraId="5C353BB5" w14:textId="77777777" w:rsidR="001E62B5" w:rsidRPr="005F024A" w:rsidRDefault="001E62B5" w:rsidP="00EB1A4D">
            <w:pPr>
              <w:pBdr>
                <w:top w:val="nil"/>
                <w:left w:val="nil"/>
                <w:bottom w:val="nil"/>
                <w:right w:val="nil"/>
                <w:between w:val="nil"/>
              </w:pBdr>
              <w:jc w:val="center"/>
              <w:rPr>
                <w:rFonts w:ascii="Times New Roman" w:hAnsi="Times New Roman"/>
                <w:b/>
                <w:color w:val="000000"/>
              </w:rPr>
            </w:pPr>
            <w:r w:rsidRPr="005F024A">
              <w:rPr>
                <w:rFonts w:ascii="Times New Roman" w:hAnsi="Times New Roman"/>
                <w:b/>
                <w:color w:val="000000"/>
              </w:rPr>
              <w:t>Ders Yükü (Haftalık Ders Saati)</w:t>
            </w:r>
          </w:p>
        </w:tc>
      </w:tr>
      <w:tr w:rsidR="001E62B5" w:rsidRPr="005F024A" w14:paraId="4FA83A2C" w14:textId="77777777" w:rsidTr="00243BD6">
        <w:trPr>
          <w:trHeight w:val="987"/>
        </w:trPr>
        <w:tc>
          <w:tcPr>
            <w:tcW w:w="1277" w:type="pct"/>
            <w:vMerge/>
            <w:vAlign w:val="center"/>
          </w:tcPr>
          <w:p w14:paraId="216644F5" w14:textId="77777777" w:rsidR="001E62B5" w:rsidRPr="005F024A" w:rsidRDefault="001E62B5" w:rsidP="00EB1A4D">
            <w:pPr>
              <w:widowControl w:val="0"/>
              <w:pBdr>
                <w:top w:val="nil"/>
                <w:left w:val="nil"/>
                <w:bottom w:val="nil"/>
                <w:right w:val="nil"/>
                <w:between w:val="nil"/>
              </w:pBdr>
              <w:rPr>
                <w:rFonts w:ascii="Times New Roman" w:hAnsi="Times New Roman"/>
                <w:b/>
                <w:color w:val="000000"/>
              </w:rPr>
            </w:pPr>
          </w:p>
        </w:tc>
        <w:tc>
          <w:tcPr>
            <w:tcW w:w="1171" w:type="pct"/>
            <w:vMerge/>
            <w:vAlign w:val="center"/>
          </w:tcPr>
          <w:p w14:paraId="6B703C9A" w14:textId="77777777" w:rsidR="001E62B5" w:rsidRPr="005F024A" w:rsidRDefault="001E62B5" w:rsidP="00EB1A4D">
            <w:pPr>
              <w:widowControl w:val="0"/>
              <w:pBdr>
                <w:top w:val="nil"/>
                <w:left w:val="nil"/>
                <w:bottom w:val="nil"/>
                <w:right w:val="nil"/>
                <w:between w:val="nil"/>
              </w:pBdr>
              <w:rPr>
                <w:rFonts w:ascii="Times New Roman" w:hAnsi="Times New Roman"/>
                <w:b/>
                <w:color w:val="000000"/>
              </w:rPr>
            </w:pPr>
          </w:p>
        </w:tc>
        <w:tc>
          <w:tcPr>
            <w:tcW w:w="511" w:type="pct"/>
            <w:vAlign w:val="center"/>
          </w:tcPr>
          <w:p w14:paraId="4BD1BDDE" w14:textId="77777777" w:rsidR="001E62B5" w:rsidRPr="005F024A" w:rsidRDefault="001E62B5" w:rsidP="00EB1A4D">
            <w:pPr>
              <w:pBdr>
                <w:top w:val="nil"/>
                <w:left w:val="nil"/>
                <w:bottom w:val="nil"/>
                <w:right w:val="nil"/>
                <w:between w:val="nil"/>
              </w:pBdr>
              <w:jc w:val="center"/>
              <w:rPr>
                <w:rFonts w:ascii="Times New Roman" w:hAnsi="Times New Roman"/>
                <w:color w:val="000000"/>
                <w:sz w:val="18"/>
                <w:szCs w:val="18"/>
              </w:rPr>
            </w:pPr>
            <w:r w:rsidRPr="005F024A">
              <w:rPr>
                <w:rFonts w:ascii="Times New Roman" w:hAnsi="Times New Roman"/>
                <w:color w:val="000000"/>
                <w:sz w:val="18"/>
                <w:szCs w:val="18"/>
              </w:rPr>
              <w:t>Kamu/ Sanayi Deneyimi (yıl)</w:t>
            </w:r>
          </w:p>
        </w:tc>
        <w:tc>
          <w:tcPr>
            <w:tcW w:w="511" w:type="pct"/>
            <w:vAlign w:val="center"/>
          </w:tcPr>
          <w:p w14:paraId="486DCEAE" w14:textId="77777777" w:rsidR="001E62B5" w:rsidRPr="005F024A" w:rsidRDefault="001E62B5" w:rsidP="00EB1A4D">
            <w:pPr>
              <w:pBdr>
                <w:top w:val="nil"/>
                <w:left w:val="nil"/>
                <w:bottom w:val="nil"/>
                <w:right w:val="nil"/>
                <w:between w:val="nil"/>
              </w:pBdr>
              <w:jc w:val="center"/>
              <w:rPr>
                <w:rFonts w:ascii="Times New Roman" w:hAnsi="Times New Roman"/>
                <w:color w:val="000000"/>
                <w:sz w:val="18"/>
                <w:szCs w:val="18"/>
              </w:rPr>
            </w:pPr>
            <w:r w:rsidRPr="005F024A">
              <w:rPr>
                <w:rFonts w:ascii="Times New Roman" w:hAnsi="Times New Roman"/>
                <w:color w:val="000000"/>
                <w:sz w:val="18"/>
                <w:szCs w:val="18"/>
              </w:rPr>
              <w:t>Öğretim Deneyimi (yıl)</w:t>
            </w:r>
          </w:p>
        </w:tc>
        <w:tc>
          <w:tcPr>
            <w:tcW w:w="572" w:type="pct"/>
            <w:vAlign w:val="center"/>
          </w:tcPr>
          <w:p w14:paraId="379ECBAB" w14:textId="77777777" w:rsidR="001E62B5" w:rsidRPr="005F024A" w:rsidRDefault="001E62B5" w:rsidP="00EB1A4D">
            <w:pPr>
              <w:pBdr>
                <w:top w:val="nil"/>
                <w:left w:val="nil"/>
                <w:bottom w:val="nil"/>
                <w:right w:val="nil"/>
                <w:between w:val="nil"/>
              </w:pBdr>
              <w:jc w:val="center"/>
              <w:rPr>
                <w:rFonts w:ascii="Times New Roman" w:hAnsi="Times New Roman"/>
                <w:color w:val="000000"/>
                <w:sz w:val="18"/>
                <w:szCs w:val="18"/>
              </w:rPr>
            </w:pPr>
            <w:r w:rsidRPr="005F024A">
              <w:rPr>
                <w:rFonts w:ascii="Times New Roman" w:hAnsi="Times New Roman"/>
                <w:color w:val="000000"/>
                <w:sz w:val="18"/>
                <w:szCs w:val="18"/>
              </w:rPr>
              <w:t>Kurumdaki Deneyimi (yıl)</w:t>
            </w:r>
          </w:p>
        </w:tc>
        <w:tc>
          <w:tcPr>
            <w:tcW w:w="435" w:type="pct"/>
            <w:vAlign w:val="center"/>
          </w:tcPr>
          <w:p w14:paraId="61F82C85" w14:textId="252EFE1E" w:rsidR="001E62B5" w:rsidRPr="005F024A" w:rsidRDefault="001E5877" w:rsidP="00EB1A4D">
            <w:pPr>
              <w:pBdr>
                <w:top w:val="nil"/>
                <w:left w:val="nil"/>
                <w:bottom w:val="nil"/>
                <w:right w:val="nil"/>
                <w:between w:val="nil"/>
              </w:pBdr>
              <w:jc w:val="center"/>
              <w:rPr>
                <w:rFonts w:ascii="Times New Roman" w:hAnsi="Times New Roman"/>
                <w:color w:val="000000"/>
                <w:sz w:val="18"/>
                <w:szCs w:val="18"/>
              </w:rPr>
            </w:pPr>
            <w:r>
              <w:rPr>
                <w:rFonts w:ascii="Times New Roman" w:hAnsi="Times New Roman"/>
                <w:color w:val="000000"/>
                <w:sz w:val="18"/>
                <w:szCs w:val="18"/>
              </w:rPr>
              <w:t>202</w:t>
            </w:r>
            <w:r w:rsidR="00853CE5">
              <w:rPr>
                <w:rFonts w:ascii="Times New Roman" w:hAnsi="Times New Roman"/>
                <w:color w:val="000000"/>
                <w:sz w:val="18"/>
                <w:szCs w:val="18"/>
              </w:rPr>
              <w:t>4</w:t>
            </w:r>
            <w:r>
              <w:rPr>
                <w:rFonts w:ascii="Times New Roman" w:hAnsi="Times New Roman"/>
                <w:color w:val="000000"/>
                <w:sz w:val="18"/>
                <w:szCs w:val="18"/>
              </w:rPr>
              <w:t>-202</w:t>
            </w:r>
            <w:r w:rsidR="00853CE5">
              <w:rPr>
                <w:rFonts w:ascii="Times New Roman" w:hAnsi="Times New Roman"/>
                <w:color w:val="000000"/>
                <w:sz w:val="18"/>
                <w:szCs w:val="18"/>
              </w:rPr>
              <w:t>5</w:t>
            </w:r>
            <w:r w:rsidR="001E62B5" w:rsidRPr="005F024A">
              <w:rPr>
                <w:rFonts w:ascii="Times New Roman" w:hAnsi="Times New Roman"/>
                <w:color w:val="000000"/>
                <w:sz w:val="18"/>
                <w:szCs w:val="18"/>
              </w:rPr>
              <w:t xml:space="preserve"> Bahar</w:t>
            </w:r>
          </w:p>
        </w:tc>
        <w:tc>
          <w:tcPr>
            <w:tcW w:w="523" w:type="pct"/>
            <w:vAlign w:val="center"/>
          </w:tcPr>
          <w:p w14:paraId="08D0DC83" w14:textId="3326CAF8" w:rsidR="001E62B5" w:rsidRPr="005F024A" w:rsidRDefault="001E5877" w:rsidP="00EB1A4D">
            <w:pPr>
              <w:pBdr>
                <w:top w:val="nil"/>
                <w:left w:val="nil"/>
                <w:bottom w:val="nil"/>
                <w:right w:val="nil"/>
                <w:between w:val="nil"/>
              </w:pBdr>
              <w:jc w:val="center"/>
              <w:rPr>
                <w:rFonts w:ascii="Times New Roman" w:hAnsi="Times New Roman"/>
                <w:color w:val="000000"/>
                <w:sz w:val="18"/>
                <w:szCs w:val="18"/>
              </w:rPr>
            </w:pPr>
            <w:r>
              <w:rPr>
                <w:rFonts w:ascii="Times New Roman" w:hAnsi="Times New Roman"/>
                <w:color w:val="000000"/>
                <w:sz w:val="18"/>
                <w:szCs w:val="18"/>
              </w:rPr>
              <w:t>202</w:t>
            </w:r>
            <w:r w:rsidR="00853CE5">
              <w:rPr>
                <w:rFonts w:ascii="Times New Roman" w:hAnsi="Times New Roman"/>
                <w:color w:val="000000"/>
                <w:sz w:val="18"/>
                <w:szCs w:val="18"/>
              </w:rPr>
              <w:t>5</w:t>
            </w:r>
            <w:r>
              <w:rPr>
                <w:rFonts w:ascii="Times New Roman" w:hAnsi="Times New Roman"/>
                <w:color w:val="000000"/>
                <w:sz w:val="18"/>
                <w:szCs w:val="18"/>
              </w:rPr>
              <w:t>-202</w:t>
            </w:r>
            <w:r w:rsidR="00853CE5">
              <w:rPr>
                <w:rFonts w:ascii="Times New Roman" w:hAnsi="Times New Roman"/>
                <w:color w:val="000000"/>
                <w:sz w:val="18"/>
                <w:szCs w:val="18"/>
              </w:rPr>
              <w:t>6</w:t>
            </w:r>
            <w:r w:rsidR="001E62B5" w:rsidRPr="005F024A">
              <w:rPr>
                <w:rFonts w:ascii="Times New Roman" w:hAnsi="Times New Roman"/>
                <w:color w:val="000000"/>
                <w:sz w:val="18"/>
                <w:szCs w:val="18"/>
              </w:rPr>
              <w:br/>
              <w:t>Güz</w:t>
            </w:r>
          </w:p>
        </w:tc>
      </w:tr>
      <w:tr w:rsidR="00243BD6" w:rsidRPr="005F024A" w14:paraId="6E75F729" w14:textId="77777777" w:rsidTr="00243BD6">
        <w:trPr>
          <w:trHeight w:val="170"/>
        </w:trPr>
        <w:tc>
          <w:tcPr>
            <w:tcW w:w="1277" w:type="pct"/>
            <w:vAlign w:val="center"/>
          </w:tcPr>
          <w:p w14:paraId="55870FBC" w14:textId="52EC98E7" w:rsidR="00243BD6" w:rsidRDefault="00243BD6" w:rsidP="00EB1A4D">
            <w:pPr>
              <w:pBdr>
                <w:top w:val="nil"/>
                <w:left w:val="nil"/>
                <w:bottom w:val="nil"/>
                <w:right w:val="nil"/>
                <w:between w:val="nil"/>
              </w:pBdr>
              <w:rPr>
                <w:rFonts w:ascii="Times New Roman" w:hAnsi="Times New Roman"/>
                <w:color w:val="000000"/>
              </w:rPr>
            </w:pPr>
            <w:r>
              <w:rPr>
                <w:rFonts w:ascii="Times New Roman" w:hAnsi="Times New Roman"/>
                <w:color w:val="000000"/>
              </w:rPr>
              <w:t>Doç. Dr. Halit ÜRÜNDÜ</w:t>
            </w:r>
          </w:p>
        </w:tc>
        <w:tc>
          <w:tcPr>
            <w:tcW w:w="1171" w:type="pct"/>
            <w:vAlign w:val="center"/>
          </w:tcPr>
          <w:p w14:paraId="63435EDA" w14:textId="77777777" w:rsidR="00243BD6" w:rsidRDefault="00243BD6" w:rsidP="00EB1A4D">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Ege Üniversitesi / </w:t>
            </w:r>
            <w:r w:rsidR="00B05109">
              <w:rPr>
                <w:rFonts w:ascii="Times New Roman" w:hAnsi="Times New Roman"/>
                <w:color w:val="000000"/>
              </w:rPr>
              <w:t xml:space="preserve">Alman Dili ve </w:t>
            </w:r>
            <w:r w:rsidR="00B05109">
              <w:rPr>
                <w:rFonts w:ascii="Times New Roman" w:hAnsi="Times New Roman"/>
                <w:color w:val="000000"/>
              </w:rPr>
              <w:lastRenderedPageBreak/>
              <w:t>Edebiyatı Doktora Programı</w:t>
            </w:r>
          </w:p>
          <w:p w14:paraId="397386C6" w14:textId="3A5B805A" w:rsidR="00B05109" w:rsidRDefault="00B05109" w:rsidP="00EB1A4D">
            <w:pPr>
              <w:pBdr>
                <w:top w:val="nil"/>
                <w:left w:val="nil"/>
                <w:bottom w:val="nil"/>
                <w:right w:val="nil"/>
                <w:between w:val="nil"/>
              </w:pBdr>
              <w:rPr>
                <w:rFonts w:ascii="Times New Roman" w:hAnsi="Times New Roman"/>
                <w:color w:val="000000"/>
              </w:rPr>
            </w:pPr>
            <w:r>
              <w:rPr>
                <w:rFonts w:ascii="Times New Roman" w:hAnsi="Times New Roman"/>
                <w:color w:val="000000"/>
              </w:rPr>
              <w:t>Mezuniyet Yılı: 2008</w:t>
            </w:r>
          </w:p>
        </w:tc>
        <w:tc>
          <w:tcPr>
            <w:tcW w:w="511" w:type="pct"/>
            <w:vAlign w:val="center"/>
          </w:tcPr>
          <w:p w14:paraId="20062DDA" w14:textId="760C5833" w:rsidR="00243BD6" w:rsidRDefault="007E2A00" w:rsidP="00EB1A4D">
            <w:pPr>
              <w:pBdr>
                <w:top w:val="nil"/>
                <w:left w:val="nil"/>
                <w:bottom w:val="nil"/>
                <w:right w:val="nil"/>
                <w:between w:val="nil"/>
              </w:pBdr>
              <w:rPr>
                <w:rFonts w:ascii="Times New Roman" w:hAnsi="Times New Roman"/>
                <w:color w:val="000000"/>
              </w:rPr>
            </w:pPr>
            <w:r>
              <w:rPr>
                <w:rFonts w:ascii="Times New Roman" w:hAnsi="Times New Roman"/>
                <w:color w:val="000000"/>
              </w:rPr>
              <w:lastRenderedPageBreak/>
              <w:t>2</w:t>
            </w:r>
          </w:p>
        </w:tc>
        <w:tc>
          <w:tcPr>
            <w:tcW w:w="511" w:type="pct"/>
            <w:vAlign w:val="center"/>
          </w:tcPr>
          <w:p w14:paraId="2819C875" w14:textId="7353CA2A" w:rsidR="00243BD6" w:rsidRDefault="00243BD6" w:rsidP="00EB1A4D">
            <w:pPr>
              <w:pBdr>
                <w:top w:val="nil"/>
                <w:left w:val="nil"/>
                <w:bottom w:val="nil"/>
                <w:right w:val="nil"/>
                <w:between w:val="nil"/>
              </w:pBdr>
              <w:rPr>
                <w:rFonts w:ascii="Times New Roman" w:hAnsi="Times New Roman"/>
                <w:color w:val="000000"/>
              </w:rPr>
            </w:pPr>
            <w:r>
              <w:rPr>
                <w:rFonts w:ascii="Times New Roman" w:hAnsi="Times New Roman"/>
                <w:color w:val="000000"/>
              </w:rPr>
              <w:t>2</w:t>
            </w:r>
            <w:r w:rsidR="007E2A00">
              <w:rPr>
                <w:rFonts w:ascii="Times New Roman" w:hAnsi="Times New Roman"/>
                <w:color w:val="000000"/>
              </w:rPr>
              <w:t>9</w:t>
            </w:r>
          </w:p>
        </w:tc>
        <w:tc>
          <w:tcPr>
            <w:tcW w:w="572" w:type="pct"/>
            <w:vAlign w:val="center"/>
          </w:tcPr>
          <w:p w14:paraId="002BF631" w14:textId="66ED2093" w:rsidR="00243BD6" w:rsidRDefault="00243BD6" w:rsidP="00EB1A4D">
            <w:pPr>
              <w:pBdr>
                <w:top w:val="nil"/>
                <w:left w:val="nil"/>
                <w:bottom w:val="nil"/>
                <w:right w:val="nil"/>
                <w:between w:val="nil"/>
              </w:pBdr>
              <w:rPr>
                <w:rFonts w:ascii="Times New Roman" w:hAnsi="Times New Roman"/>
                <w:color w:val="000000"/>
              </w:rPr>
            </w:pPr>
            <w:r>
              <w:rPr>
                <w:rFonts w:ascii="Times New Roman" w:hAnsi="Times New Roman"/>
                <w:color w:val="000000"/>
              </w:rPr>
              <w:t>16</w:t>
            </w:r>
          </w:p>
        </w:tc>
        <w:tc>
          <w:tcPr>
            <w:tcW w:w="435" w:type="pct"/>
            <w:vAlign w:val="center"/>
          </w:tcPr>
          <w:p w14:paraId="3190666E" w14:textId="0607E529" w:rsidR="00243BD6" w:rsidRDefault="00D9518D" w:rsidP="00EB1A4D">
            <w:pPr>
              <w:pBdr>
                <w:top w:val="nil"/>
                <w:left w:val="nil"/>
                <w:bottom w:val="nil"/>
                <w:right w:val="nil"/>
                <w:between w:val="nil"/>
              </w:pBdr>
              <w:rPr>
                <w:rFonts w:ascii="Times New Roman" w:hAnsi="Times New Roman"/>
                <w:color w:val="000000"/>
              </w:rPr>
            </w:pPr>
            <w:r>
              <w:rPr>
                <w:rFonts w:ascii="Times New Roman" w:hAnsi="Times New Roman"/>
                <w:color w:val="000000"/>
              </w:rPr>
              <w:t>24</w:t>
            </w:r>
          </w:p>
        </w:tc>
        <w:tc>
          <w:tcPr>
            <w:tcW w:w="523" w:type="pct"/>
            <w:vAlign w:val="center"/>
          </w:tcPr>
          <w:p w14:paraId="0BB65F62" w14:textId="3420CC0F" w:rsidR="00243BD6" w:rsidRDefault="00D9518D" w:rsidP="00EB1A4D">
            <w:pPr>
              <w:pBdr>
                <w:top w:val="nil"/>
                <w:left w:val="nil"/>
                <w:bottom w:val="nil"/>
                <w:right w:val="nil"/>
                <w:between w:val="nil"/>
              </w:pBdr>
              <w:rPr>
                <w:rFonts w:ascii="Times New Roman" w:hAnsi="Times New Roman"/>
                <w:color w:val="000000"/>
              </w:rPr>
            </w:pPr>
            <w:r>
              <w:rPr>
                <w:rFonts w:ascii="Times New Roman" w:hAnsi="Times New Roman"/>
                <w:color w:val="000000"/>
              </w:rPr>
              <w:t>22</w:t>
            </w:r>
          </w:p>
        </w:tc>
      </w:tr>
      <w:tr w:rsidR="00B05109" w:rsidRPr="005F024A" w14:paraId="2004375C" w14:textId="77777777" w:rsidTr="00243BD6">
        <w:trPr>
          <w:trHeight w:val="170"/>
        </w:trPr>
        <w:tc>
          <w:tcPr>
            <w:tcW w:w="1277" w:type="pct"/>
            <w:vAlign w:val="center"/>
          </w:tcPr>
          <w:p w14:paraId="74294CD8" w14:textId="5880A715"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Dr. Öğr. Üyesi Sitem İNCE</w:t>
            </w:r>
          </w:p>
        </w:tc>
        <w:tc>
          <w:tcPr>
            <w:tcW w:w="1171" w:type="pct"/>
            <w:vAlign w:val="center"/>
          </w:tcPr>
          <w:p w14:paraId="2A0D63AF" w14:textId="77777777"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Dokuz Eylül Üniversitesi/Sosyal Bilimler Enstitüsü/Çeviribilim Doktora Programı</w:t>
            </w:r>
          </w:p>
          <w:p w14:paraId="6F75E2EB" w14:textId="5EB60731"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Mezuniyet Yılı: 2024</w:t>
            </w:r>
          </w:p>
        </w:tc>
        <w:tc>
          <w:tcPr>
            <w:tcW w:w="511" w:type="pct"/>
            <w:vAlign w:val="center"/>
          </w:tcPr>
          <w:p w14:paraId="188F418B" w14:textId="083EBBBF"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511" w:type="pct"/>
            <w:vAlign w:val="center"/>
          </w:tcPr>
          <w:p w14:paraId="4AD221D3" w14:textId="63D10FD6"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11</w:t>
            </w:r>
          </w:p>
        </w:tc>
        <w:tc>
          <w:tcPr>
            <w:tcW w:w="572" w:type="pct"/>
            <w:vAlign w:val="center"/>
          </w:tcPr>
          <w:p w14:paraId="7A687B8F" w14:textId="12A47138"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4</w:t>
            </w:r>
          </w:p>
        </w:tc>
        <w:tc>
          <w:tcPr>
            <w:tcW w:w="435" w:type="pct"/>
            <w:vAlign w:val="center"/>
          </w:tcPr>
          <w:p w14:paraId="155909F9" w14:textId="28F0EFDF" w:rsidR="00B05109" w:rsidRDefault="00D9518D" w:rsidP="00B05109">
            <w:pPr>
              <w:pBdr>
                <w:top w:val="nil"/>
                <w:left w:val="nil"/>
                <w:bottom w:val="nil"/>
                <w:right w:val="nil"/>
                <w:between w:val="nil"/>
              </w:pBdr>
              <w:rPr>
                <w:rFonts w:ascii="Times New Roman" w:hAnsi="Times New Roman"/>
                <w:color w:val="000000"/>
              </w:rPr>
            </w:pPr>
            <w:r>
              <w:rPr>
                <w:rFonts w:ascii="Times New Roman" w:hAnsi="Times New Roman"/>
                <w:color w:val="000000"/>
              </w:rPr>
              <w:t>3</w:t>
            </w:r>
          </w:p>
        </w:tc>
        <w:tc>
          <w:tcPr>
            <w:tcW w:w="523" w:type="pct"/>
            <w:vAlign w:val="center"/>
          </w:tcPr>
          <w:p w14:paraId="13E05406" w14:textId="2FC9D6D5" w:rsidR="00B05109" w:rsidRDefault="00D9518D" w:rsidP="00B05109">
            <w:pPr>
              <w:pBdr>
                <w:top w:val="nil"/>
                <w:left w:val="nil"/>
                <w:bottom w:val="nil"/>
                <w:right w:val="nil"/>
                <w:between w:val="nil"/>
              </w:pBdr>
              <w:rPr>
                <w:rFonts w:ascii="Times New Roman" w:hAnsi="Times New Roman"/>
                <w:color w:val="000000"/>
              </w:rPr>
            </w:pPr>
            <w:r>
              <w:rPr>
                <w:rFonts w:ascii="Times New Roman" w:hAnsi="Times New Roman"/>
                <w:color w:val="000000"/>
              </w:rPr>
              <w:t>3</w:t>
            </w:r>
          </w:p>
        </w:tc>
      </w:tr>
      <w:tr w:rsidR="00B05109" w:rsidRPr="005F024A" w14:paraId="6A4872B7" w14:textId="77777777" w:rsidTr="00243BD6">
        <w:trPr>
          <w:trHeight w:val="170"/>
        </w:trPr>
        <w:tc>
          <w:tcPr>
            <w:tcW w:w="1277" w:type="pct"/>
            <w:vAlign w:val="center"/>
          </w:tcPr>
          <w:p w14:paraId="03CC86C0" w14:textId="76A58117"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Dr. </w:t>
            </w:r>
            <w:r w:rsidR="007C7999">
              <w:rPr>
                <w:rFonts w:ascii="Times New Roman" w:hAnsi="Times New Roman"/>
                <w:color w:val="000000"/>
              </w:rPr>
              <w:t xml:space="preserve">Öğr. Üyesi </w:t>
            </w:r>
            <w:r>
              <w:rPr>
                <w:rFonts w:ascii="Times New Roman" w:hAnsi="Times New Roman"/>
                <w:color w:val="000000"/>
              </w:rPr>
              <w:t>Nimet ALPASLAN ÖCAL</w:t>
            </w:r>
          </w:p>
        </w:tc>
        <w:tc>
          <w:tcPr>
            <w:tcW w:w="1171" w:type="pct"/>
            <w:vAlign w:val="center"/>
          </w:tcPr>
          <w:p w14:paraId="3468266A" w14:textId="77777777"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Niğde Ömer Halisdemir Üniversitesi/Türk Dili ve Edebiyatı Doktora Programı</w:t>
            </w:r>
          </w:p>
          <w:p w14:paraId="585A2248" w14:textId="47312184"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Mezuniyet Yılı:2022</w:t>
            </w:r>
          </w:p>
        </w:tc>
        <w:tc>
          <w:tcPr>
            <w:tcW w:w="511" w:type="pct"/>
            <w:vAlign w:val="center"/>
          </w:tcPr>
          <w:p w14:paraId="14E1F648" w14:textId="42DF9281"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511" w:type="pct"/>
            <w:vAlign w:val="center"/>
          </w:tcPr>
          <w:p w14:paraId="3BB1DEA1" w14:textId="6EA9685C"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15</w:t>
            </w:r>
          </w:p>
        </w:tc>
        <w:tc>
          <w:tcPr>
            <w:tcW w:w="572" w:type="pct"/>
            <w:vAlign w:val="center"/>
          </w:tcPr>
          <w:p w14:paraId="31B6A25A" w14:textId="7AC8558F"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15</w:t>
            </w:r>
          </w:p>
        </w:tc>
        <w:tc>
          <w:tcPr>
            <w:tcW w:w="435" w:type="pct"/>
            <w:vAlign w:val="center"/>
          </w:tcPr>
          <w:p w14:paraId="467F24B2" w14:textId="05581D21" w:rsidR="00B05109" w:rsidRPr="005F024A" w:rsidRDefault="007C7999" w:rsidP="00B05109">
            <w:pPr>
              <w:pBdr>
                <w:top w:val="nil"/>
                <w:left w:val="nil"/>
                <w:bottom w:val="nil"/>
                <w:right w:val="nil"/>
                <w:between w:val="nil"/>
              </w:pBdr>
              <w:rPr>
                <w:rFonts w:ascii="Times New Roman" w:hAnsi="Times New Roman"/>
                <w:color w:val="000000"/>
              </w:rPr>
            </w:pPr>
            <w:r>
              <w:rPr>
                <w:rFonts w:ascii="Times New Roman" w:hAnsi="Times New Roman"/>
                <w:color w:val="000000"/>
              </w:rPr>
              <w:t>9</w:t>
            </w:r>
          </w:p>
        </w:tc>
        <w:tc>
          <w:tcPr>
            <w:tcW w:w="523" w:type="pct"/>
            <w:vAlign w:val="center"/>
          </w:tcPr>
          <w:p w14:paraId="16AF9DE1" w14:textId="792359FD" w:rsidR="00B05109" w:rsidRPr="005F024A" w:rsidRDefault="00853CE5" w:rsidP="00B05109">
            <w:pPr>
              <w:pBdr>
                <w:top w:val="nil"/>
                <w:left w:val="nil"/>
                <w:bottom w:val="nil"/>
                <w:right w:val="nil"/>
                <w:between w:val="nil"/>
              </w:pBdr>
              <w:rPr>
                <w:rFonts w:ascii="Times New Roman" w:hAnsi="Times New Roman"/>
                <w:color w:val="000000"/>
              </w:rPr>
            </w:pPr>
            <w:r>
              <w:rPr>
                <w:rFonts w:ascii="Times New Roman" w:hAnsi="Times New Roman"/>
                <w:color w:val="000000"/>
              </w:rPr>
              <w:t>3</w:t>
            </w:r>
          </w:p>
        </w:tc>
      </w:tr>
      <w:tr w:rsidR="00B05109" w:rsidRPr="005F024A" w14:paraId="5F8E697B" w14:textId="77777777" w:rsidTr="00243BD6">
        <w:trPr>
          <w:trHeight w:val="170"/>
        </w:trPr>
        <w:tc>
          <w:tcPr>
            <w:tcW w:w="1277" w:type="pct"/>
            <w:vAlign w:val="center"/>
          </w:tcPr>
          <w:p w14:paraId="7865B63C" w14:textId="3E6AEAE7"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Öğr. Gör. Mehmet Burak EV</w:t>
            </w:r>
          </w:p>
        </w:tc>
        <w:tc>
          <w:tcPr>
            <w:tcW w:w="1171" w:type="pct"/>
            <w:vAlign w:val="center"/>
          </w:tcPr>
          <w:p w14:paraId="69E57B06" w14:textId="1198F1E4" w:rsidR="007E2A00" w:rsidRDefault="007E2A00" w:rsidP="00B05109">
            <w:pPr>
              <w:pBdr>
                <w:top w:val="nil"/>
                <w:left w:val="nil"/>
                <w:bottom w:val="nil"/>
                <w:right w:val="nil"/>
                <w:between w:val="nil"/>
              </w:pBdr>
              <w:rPr>
                <w:rFonts w:ascii="Times New Roman" w:hAnsi="Times New Roman"/>
                <w:color w:val="000000"/>
              </w:rPr>
            </w:pPr>
            <w:r w:rsidRPr="007E2A00">
              <w:rPr>
                <w:rFonts w:ascii="Times New Roman" w:hAnsi="Times New Roman"/>
                <w:color w:val="000000"/>
              </w:rPr>
              <w:t>S</w:t>
            </w:r>
            <w:r>
              <w:rPr>
                <w:rFonts w:ascii="Times New Roman" w:hAnsi="Times New Roman"/>
                <w:color w:val="000000"/>
              </w:rPr>
              <w:t xml:space="preserve">elçuk </w:t>
            </w:r>
            <w:r w:rsidRPr="007E2A00">
              <w:rPr>
                <w:rFonts w:ascii="Times New Roman" w:hAnsi="Times New Roman"/>
                <w:color w:val="000000"/>
              </w:rPr>
              <w:t>Ü</w:t>
            </w:r>
            <w:r>
              <w:rPr>
                <w:rFonts w:ascii="Times New Roman" w:hAnsi="Times New Roman"/>
                <w:color w:val="000000"/>
              </w:rPr>
              <w:t>niversitesi/</w:t>
            </w:r>
            <w:r w:rsidRPr="007E2A00">
              <w:rPr>
                <w:rFonts w:ascii="Times New Roman" w:hAnsi="Times New Roman"/>
                <w:color w:val="000000"/>
              </w:rPr>
              <w:t>S</w:t>
            </w:r>
            <w:r>
              <w:rPr>
                <w:rFonts w:ascii="Times New Roman" w:hAnsi="Times New Roman"/>
                <w:color w:val="000000"/>
              </w:rPr>
              <w:t>osyal</w:t>
            </w:r>
            <w:r w:rsidRPr="007E2A00">
              <w:rPr>
                <w:rFonts w:ascii="Times New Roman" w:hAnsi="Times New Roman"/>
                <w:color w:val="000000"/>
              </w:rPr>
              <w:t xml:space="preserve"> B</w:t>
            </w:r>
            <w:r>
              <w:rPr>
                <w:rFonts w:ascii="Times New Roman" w:hAnsi="Times New Roman"/>
                <w:color w:val="000000"/>
              </w:rPr>
              <w:t>ilimler</w:t>
            </w:r>
            <w:r w:rsidRPr="007E2A00">
              <w:rPr>
                <w:rFonts w:ascii="Times New Roman" w:hAnsi="Times New Roman"/>
                <w:color w:val="000000"/>
              </w:rPr>
              <w:t xml:space="preserve"> E</w:t>
            </w:r>
            <w:r>
              <w:rPr>
                <w:rFonts w:ascii="Times New Roman" w:hAnsi="Times New Roman"/>
                <w:color w:val="000000"/>
              </w:rPr>
              <w:t>nstitüsü</w:t>
            </w:r>
            <w:r w:rsidRPr="007E2A00">
              <w:rPr>
                <w:rFonts w:ascii="Times New Roman" w:hAnsi="Times New Roman"/>
                <w:color w:val="000000"/>
              </w:rPr>
              <w:t>/İ</w:t>
            </w:r>
            <w:r>
              <w:rPr>
                <w:rFonts w:ascii="Times New Roman" w:hAnsi="Times New Roman"/>
                <w:color w:val="000000"/>
              </w:rPr>
              <w:t xml:space="preserve">ngiliz </w:t>
            </w:r>
            <w:r w:rsidRPr="007E2A00">
              <w:rPr>
                <w:rFonts w:ascii="Times New Roman" w:hAnsi="Times New Roman"/>
                <w:color w:val="000000"/>
              </w:rPr>
              <w:t>D</w:t>
            </w:r>
            <w:r>
              <w:rPr>
                <w:rFonts w:ascii="Times New Roman" w:hAnsi="Times New Roman"/>
                <w:color w:val="000000"/>
              </w:rPr>
              <w:t>ili</w:t>
            </w:r>
            <w:r w:rsidRPr="007E2A00">
              <w:rPr>
                <w:rFonts w:ascii="Times New Roman" w:hAnsi="Times New Roman"/>
                <w:color w:val="000000"/>
              </w:rPr>
              <w:t xml:space="preserve"> </w:t>
            </w:r>
            <w:r>
              <w:rPr>
                <w:rFonts w:ascii="Times New Roman" w:hAnsi="Times New Roman"/>
                <w:color w:val="000000"/>
              </w:rPr>
              <w:t>ve</w:t>
            </w:r>
            <w:r w:rsidRPr="007E2A00">
              <w:rPr>
                <w:rFonts w:ascii="Times New Roman" w:hAnsi="Times New Roman"/>
                <w:color w:val="000000"/>
              </w:rPr>
              <w:t xml:space="preserve"> E</w:t>
            </w:r>
            <w:r>
              <w:rPr>
                <w:rFonts w:ascii="Times New Roman" w:hAnsi="Times New Roman"/>
                <w:color w:val="000000"/>
              </w:rPr>
              <w:t>debiyatı</w:t>
            </w:r>
            <w:r w:rsidRPr="007E2A00">
              <w:rPr>
                <w:rFonts w:ascii="Times New Roman" w:hAnsi="Times New Roman"/>
                <w:color w:val="000000"/>
              </w:rPr>
              <w:t xml:space="preserve"> (YL) (TEZLİ)</w:t>
            </w:r>
          </w:p>
          <w:p w14:paraId="710D213E" w14:textId="1A753A8E"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Mezuniyet Yılı: 20</w:t>
            </w:r>
            <w:r w:rsidR="007E2A00">
              <w:rPr>
                <w:rFonts w:ascii="Times New Roman" w:hAnsi="Times New Roman"/>
                <w:color w:val="000000"/>
              </w:rPr>
              <w:t>25</w:t>
            </w:r>
          </w:p>
        </w:tc>
        <w:tc>
          <w:tcPr>
            <w:tcW w:w="511" w:type="pct"/>
            <w:vAlign w:val="center"/>
          </w:tcPr>
          <w:p w14:paraId="1FC134B2" w14:textId="7DD1DD59"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511" w:type="pct"/>
            <w:vAlign w:val="center"/>
          </w:tcPr>
          <w:p w14:paraId="520F5D2A" w14:textId="4DB4C8BD"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17</w:t>
            </w:r>
          </w:p>
        </w:tc>
        <w:tc>
          <w:tcPr>
            <w:tcW w:w="572" w:type="pct"/>
            <w:vAlign w:val="center"/>
          </w:tcPr>
          <w:p w14:paraId="3275FF8E" w14:textId="4A9768C1"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17</w:t>
            </w:r>
          </w:p>
        </w:tc>
        <w:tc>
          <w:tcPr>
            <w:tcW w:w="435" w:type="pct"/>
            <w:vAlign w:val="center"/>
          </w:tcPr>
          <w:p w14:paraId="73D9C89E" w14:textId="6D5FA19E" w:rsidR="00B05109" w:rsidRPr="005F024A" w:rsidRDefault="007C799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12</w:t>
            </w:r>
          </w:p>
        </w:tc>
        <w:tc>
          <w:tcPr>
            <w:tcW w:w="523" w:type="pct"/>
            <w:vAlign w:val="center"/>
          </w:tcPr>
          <w:p w14:paraId="04F25408" w14:textId="64A89183"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w:t>
            </w:r>
            <w:r w:rsidR="00A3015F">
              <w:rPr>
                <w:rFonts w:ascii="Times New Roman" w:hAnsi="Times New Roman"/>
                <w:color w:val="000000"/>
              </w:rPr>
              <w:t>5</w:t>
            </w:r>
          </w:p>
        </w:tc>
      </w:tr>
      <w:tr w:rsidR="00B05109" w:rsidRPr="005F024A" w14:paraId="2E7BD964" w14:textId="77777777" w:rsidTr="00243BD6">
        <w:trPr>
          <w:trHeight w:val="170"/>
        </w:trPr>
        <w:tc>
          <w:tcPr>
            <w:tcW w:w="1277" w:type="pct"/>
            <w:vAlign w:val="center"/>
          </w:tcPr>
          <w:p w14:paraId="757184D3" w14:textId="07C62334"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Öğr. Gör. Çisem GÜLENLER ACAR</w:t>
            </w:r>
          </w:p>
        </w:tc>
        <w:tc>
          <w:tcPr>
            <w:tcW w:w="1171" w:type="pct"/>
            <w:vAlign w:val="center"/>
          </w:tcPr>
          <w:p w14:paraId="16978937" w14:textId="77777777"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Selçuk Üniversitesi/Edebiyat Fakültesi/ İngiliz Dili ve Edebiyatı</w:t>
            </w:r>
          </w:p>
          <w:p w14:paraId="1F017722" w14:textId="47CA646B"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Mezuniyet Yılı:2009</w:t>
            </w:r>
          </w:p>
        </w:tc>
        <w:tc>
          <w:tcPr>
            <w:tcW w:w="511" w:type="pct"/>
            <w:vAlign w:val="center"/>
          </w:tcPr>
          <w:p w14:paraId="16441D29" w14:textId="3A7B489E"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w:t>
            </w:r>
          </w:p>
        </w:tc>
        <w:tc>
          <w:tcPr>
            <w:tcW w:w="511" w:type="pct"/>
            <w:vAlign w:val="center"/>
          </w:tcPr>
          <w:p w14:paraId="4E1F5E26" w14:textId="1E80CD17"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17</w:t>
            </w:r>
          </w:p>
        </w:tc>
        <w:tc>
          <w:tcPr>
            <w:tcW w:w="572" w:type="pct"/>
            <w:vAlign w:val="center"/>
          </w:tcPr>
          <w:p w14:paraId="246BB0BF" w14:textId="53FF17AB"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17</w:t>
            </w:r>
          </w:p>
        </w:tc>
        <w:tc>
          <w:tcPr>
            <w:tcW w:w="435" w:type="pct"/>
            <w:vAlign w:val="center"/>
          </w:tcPr>
          <w:p w14:paraId="52685A2A" w14:textId="04AF5224" w:rsidR="00B05109" w:rsidRPr="005F024A" w:rsidRDefault="007C7999" w:rsidP="00B05109">
            <w:pPr>
              <w:pBdr>
                <w:top w:val="nil"/>
                <w:left w:val="nil"/>
                <w:bottom w:val="nil"/>
                <w:right w:val="nil"/>
                <w:between w:val="nil"/>
              </w:pBdr>
              <w:rPr>
                <w:rFonts w:ascii="Times New Roman" w:hAnsi="Times New Roman"/>
                <w:color w:val="000000"/>
              </w:rPr>
            </w:pPr>
            <w:r>
              <w:rPr>
                <w:rFonts w:ascii="Times New Roman" w:hAnsi="Times New Roman"/>
                <w:color w:val="000000"/>
              </w:rPr>
              <w:t>3</w:t>
            </w:r>
          </w:p>
        </w:tc>
        <w:tc>
          <w:tcPr>
            <w:tcW w:w="523" w:type="pct"/>
            <w:vAlign w:val="center"/>
          </w:tcPr>
          <w:p w14:paraId="0857E1BE" w14:textId="19D0AD20" w:rsidR="00B05109" w:rsidRPr="005F024A" w:rsidRDefault="007E2A00" w:rsidP="00B05109">
            <w:pPr>
              <w:pBdr>
                <w:top w:val="nil"/>
                <w:left w:val="nil"/>
                <w:bottom w:val="nil"/>
                <w:right w:val="nil"/>
                <w:between w:val="nil"/>
              </w:pBdr>
              <w:rPr>
                <w:rFonts w:ascii="Times New Roman" w:hAnsi="Times New Roman"/>
                <w:color w:val="000000"/>
              </w:rPr>
            </w:pPr>
            <w:r>
              <w:rPr>
                <w:rFonts w:ascii="Times New Roman" w:hAnsi="Times New Roman"/>
                <w:color w:val="000000"/>
              </w:rPr>
              <w:t>5</w:t>
            </w:r>
          </w:p>
        </w:tc>
      </w:tr>
      <w:tr w:rsidR="00B05109" w:rsidRPr="005F024A" w14:paraId="6E779F63" w14:textId="77777777" w:rsidTr="00243BD6">
        <w:trPr>
          <w:trHeight w:val="170"/>
        </w:trPr>
        <w:tc>
          <w:tcPr>
            <w:tcW w:w="1277" w:type="pct"/>
            <w:vAlign w:val="center"/>
          </w:tcPr>
          <w:p w14:paraId="604FA0FA" w14:textId="09110FC3"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Öğr. Gör. Özge YAVUZER</w:t>
            </w:r>
          </w:p>
        </w:tc>
        <w:tc>
          <w:tcPr>
            <w:tcW w:w="1171" w:type="pct"/>
            <w:vAlign w:val="center"/>
          </w:tcPr>
          <w:p w14:paraId="4ABB5DE7" w14:textId="77777777" w:rsidR="00B05109"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Hacettepe Üniversitesi/Edebiyat Fakültesi/İngiliz Dilbilimi</w:t>
            </w:r>
          </w:p>
          <w:p w14:paraId="69DF73E1" w14:textId="12CE3CBA"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Mezuniyet Yılı: 2008</w:t>
            </w:r>
          </w:p>
        </w:tc>
        <w:tc>
          <w:tcPr>
            <w:tcW w:w="511" w:type="pct"/>
            <w:vAlign w:val="center"/>
          </w:tcPr>
          <w:p w14:paraId="3C6D6F82" w14:textId="69F5D4E3"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511" w:type="pct"/>
            <w:vAlign w:val="center"/>
          </w:tcPr>
          <w:p w14:paraId="4D5B8FDD" w14:textId="21794F9B"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17</w:t>
            </w:r>
          </w:p>
        </w:tc>
        <w:tc>
          <w:tcPr>
            <w:tcW w:w="572" w:type="pct"/>
            <w:vAlign w:val="center"/>
          </w:tcPr>
          <w:p w14:paraId="4CAAEF9F" w14:textId="18286BF7" w:rsidR="00B05109" w:rsidRPr="005F024A" w:rsidRDefault="00B05109" w:rsidP="00B05109">
            <w:pPr>
              <w:pBdr>
                <w:top w:val="nil"/>
                <w:left w:val="nil"/>
                <w:bottom w:val="nil"/>
                <w:right w:val="nil"/>
                <w:between w:val="nil"/>
              </w:pBdr>
              <w:rPr>
                <w:rFonts w:ascii="Times New Roman" w:hAnsi="Times New Roman"/>
                <w:color w:val="000000"/>
              </w:rPr>
            </w:pPr>
            <w:r>
              <w:rPr>
                <w:rFonts w:ascii="Times New Roman" w:hAnsi="Times New Roman"/>
                <w:color w:val="000000"/>
              </w:rPr>
              <w:t>17</w:t>
            </w:r>
          </w:p>
        </w:tc>
        <w:tc>
          <w:tcPr>
            <w:tcW w:w="435" w:type="pct"/>
            <w:vAlign w:val="center"/>
          </w:tcPr>
          <w:p w14:paraId="54B77489" w14:textId="2CDBE092" w:rsidR="00B05109" w:rsidRPr="005F024A" w:rsidRDefault="007C7999" w:rsidP="00B05109">
            <w:pPr>
              <w:pBdr>
                <w:top w:val="nil"/>
                <w:left w:val="nil"/>
                <w:bottom w:val="nil"/>
                <w:right w:val="nil"/>
                <w:between w:val="nil"/>
              </w:pBdr>
              <w:rPr>
                <w:rFonts w:ascii="Times New Roman" w:hAnsi="Times New Roman"/>
                <w:color w:val="000000"/>
              </w:rPr>
            </w:pPr>
            <w:r>
              <w:rPr>
                <w:rFonts w:ascii="Times New Roman" w:hAnsi="Times New Roman"/>
                <w:color w:val="000000"/>
              </w:rPr>
              <w:t>3</w:t>
            </w:r>
          </w:p>
        </w:tc>
        <w:tc>
          <w:tcPr>
            <w:tcW w:w="523" w:type="pct"/>
            <w:vAlign w:val="center"/>
          </w:tcPr>
          <w:p w14:paraId="1CFE9A71" w14:textId="5B56DAD1" w:rsidR="00B05109" w:rsidRPr="005F024A" w:rsidRDefault="00A3015F" w:rsidP="00B05109">
            <w:pPr>
              <w:pBdr>
                <w:top w:val="nil"/>
                <w:left w:val="nil"/>
                <w:bottom w:val="nil"/>
                <w:right w:val="nil"/>
                <w:between w:val="nil"/>
              </w:pBdr>
              <w:rPr>
                <w:rFonts w:ascii="Times New Roman" w:hAnsi="Times New Roman"/>
                <w:color w:val="000000"/>
              </w:rPr>
            </w:pPr>
            <w:r>
              <w:rPr>
                <w:rFonts w:ascii="Times New Roman" w:hAnsi="Times New Roman"/>
                <w:color w:val="000000"/>
              </w:rPr>
              <w:t>3</w:t>
            </w:r>
          </w:p>
        </w:tc>
      </w:tr>
      <w:tr w:rsidR="00B05109" w:rsidRPr="005F024A" w14:paraId="58994112" w14:textId="77777777" w:rsidTr="00243BD6">
        <w:trPr>
          <w:trHeight w:val="170"/>
        </w:trPr>
        <w:tc>
          <w:tcPr>
            <w:tcW w:w="1277" w:type="pct"/>
            <w:vAlign w:val="center"/>
          </w:tcPr>
          <w:p w14:paraId="7E2A9DF6" w14:textId="28374509" w:rsidR="00B05109" w:rsidRPr="005F024A" w:rsidRDefault="00A3015F" w:rsidP="00B05109">
            <w:pPr>
              <w:pBdr>
                <w:top w:val="nil"/>
                <w:left w:val="nil"/>
                <w:bottom w:val="nil"/>
                <w:right w:val="nil"/>
                <w:between w:val="nil"/>
              </w:pBdr>
              <w:rPr>
                <w:rFonts w:ascii="Times New Roman" w:hAnsi="Times New Roman"/>
                <w:color w:val="000000"/>
              </w:rPr>
            </w:pPr>
            <w:r>
              <w:rPr>
                <w:rFonts w:ascii="Times New Roman" w:hAnsi="Times New Roman"/>
                <w:color w:val="000000"/>
              </w:rPr>
              <w:t>Araş. Gör. Diyar YILMAZ KARAGÜL</w:t>
            </w:r>
          </w:p>
        </w:tc>
        <w:tc>
          <w:tcPr>
            <w:tcW w:w="1171" w:type="pct"/>
            <w:vAlign w:val="center"/>
          </w:tcPr>
          <w:p w14:paraId="573DDD66" w14:textId="77777777" w:rsidR="00B05109" w:rsidRDefault="00A3015F" w:rsidP="00B05109">
            <w:pPr>
              <w:pBdr>
                <w:top w:val="nil"/>
                <w:left w:val="nil"/>
                <w:bottom w:val="nil"/>
                <w:right w:val="nil"/>
                <w:between w:val="nil"/>
              </w:pBdr>
              <w:rPr>
                <w:rFonts w:ascii="Times New Roman" w:hAnsi="Times New Roman"/>
                <w:color w:val="000000"/>
              </w:rPr>
            </w:pPr>
            <w:r>
              <w:rPr>
                <w:rFonts w:ascii="Times New Roman" w:hAnsi="Times New Roman"/>
                <w:color w:val="000000"/>
              </w:rPr>
              <w:t>Hacettepe Üniversitesi/ Edebiyat Fakültesi/ Mütercim ve Tercümanlık</w:t>
            </w:r>
          </w:p>
          <w:p w14:paraId="43FAD017" w14:textId="2258890C" w:rsidR="007C7999" w:rsidRPr="005F024A" w:rsidRDefault="007C7999" w:rsidP="00B05109">
            <w:pPr>
              <w:pBdr>
                <w:top w:val="nil"/>
                <w:left w:val="nil"/>
                <w:bottom w:val="nil"/>
                <w:right w:val="nil"/>
                <w:between w:val="nil"/>
              </w:pBdr>
              <w:rPr>
                <w:rFonts w:ascii="Times New Roman" w:hAnsi="Times New Roman"/>
                <w:color w:val="000000"/>
              </w:rPr>
            </w:pPr>
            <w:r>
              <w:rPr>
                <w:rFonts w:ascii="Times New Roman" w:hAnsi="Times New Roman"/>
                <w:color w:val="000000"/>
              </w:rPr>
              <w:t>Mezuniyet Yılı: 2015</w:t>
            </w:r>
          </w:p>
        </w:tc>
        <w:tc>
          <w:tcPr>
            <w:tcW w:w="511" w:type="pct"/>
            <w:vAlign w:val="center"/>
          </w:tcPr>
          <w:p w14:paraId="080DE796" w14:textId="4B6AFB60" w:rsidR="00B05109" w:rsidRPr="005F024A" w:rsidRDefault="002F3243" w:rsidP="00B05109">
            <w:pPr>
              <w:pBdr>
                <w:top w:val="nil"/>
                <w:left w:val="nil"/>
                <w:bottom w:val="nil"/>
                <w:right w:val="nil"/>
                <w:between w:val="nil"/>
              </w:pBdr>
              <w:rPr>
                <w:rFonts w:ascii="Times New Roman" w:hAnsi="Times New Roman"/>
                <w:color w:val="000000"/>
              </w:rPr>
            </w:pPr>
            <w:r>
              <w:rPr>
                <w:rFonts w:ascii="Times New Roman" w:hAnsi="Times New Roman"/>
                <w:color w:val="000000"/>
              </w:rPr>
              <w:t>-</w:t>
            </w:r>
          </w:p>
        </w:tc>
        <w:tc>
          <w:tcPr>
            <w:tcW w:w="511" w:type="pct"/>
            <w:vAlign w:val="center"/>
          </w:tcPr>
          <w:p w14:paraId="187A282E" w14:textId="4016F2BC" w:rsidR="00B05109" w:rsidRPr="005F024A" w:rsidRDefault="002F3243" w:rsidP="00B05109">
            <w:pPr>
              <w:pBdr>
                <w:top w:val="nil"/>
                <w:left w:val="nil"/>
                <w:bottom w:val="nil"/>
                <w:right w:val="nil"/>
                <w:between w:val="nil"/>
              </w:pBdr>
              <w:rPr>
                <w:rFonts w:ascii="Times New Roman" w:hAnsi="Times New Roman"/>
                <w:color w:val="000000"/>
              </w:rPr>
            </w:pPr>
            <w:r>
              <w:rPr>
                <w:rFonts w:ascii="Times New Roman" w:hAnsi="Times New Roman"/>
                <w:color w:val="000000"/>
              </w:rPr>
              <w:t>9</w:t>
            </w:r>
          </w:p>
        </w:tc>
        <w:tc>
          <w:tcPr>
            <w:tcW w:w="572" w:type="pct"/>
            <w:vAlign w:val="center"/>
          </w:tcPr>
          <w:p w14:paraId="21643984" w14:textId="76133746" w:rsidR="00B05109" w:rsidRPr="005F024A" w:rsidRDefault="002F3243" w:rsidP="00B05109">
            <w:pPr>
              <w:pBdr>
                <w:top w:val="nil"/>
                <w:left w:val="nil"/>
                <w:bottom w:val="nil"/>
                <w:right w:val="nil"/>
                <w:between w:val="nil"/>
              </w:pBdr>
              <w:rPr>
                <w:rFonts w:ascii="Times New Roman" w:hAnsi="Times New Roman"/>
                <w:color w:val="000000"/>
              </w:rPr>
            </w:pPr>
            <w:r>
              <w:rPr>
                <w:rFonts w:ascii="Times New Roman" w:hAnsi="Times New Roman"/>
                <w:color w:val="000000"/>
              </w:rPr>
              <w:t>9</w:t>
            </w:r>
          </w:p>
        </w:tc>
        <w:tc>
          <w:tcPr>
            <w:tcW w:w="435" w:type="pct"/>
            <w:vAlign w:val="center"/>
          </w:tcPr>
          <w:p w14:paraId="1CFF3766" w14:textId="1212B353" w:rsidR="00B05109" w:rsidRPr="005F024A" w:rsidRDefault="002F3243" w:rsidP="00B05109">
            <w:pPr>
              <w:pBdr>
                <w:top w:val="nil"/>
                <w:left w:val="nil"/>
                <w:bottom w:val="nil"/>
                <w:right w:val="nil"/>
                <w:between w:val="nil"/>
              </w:pBdr>
              <w:rPr>
                <w:rFonts w:ascii="Times New Roman" w:hAnsi="Times New Roman"/>
                <w:color w:val="000000"/>
              </w:rPr>
            </w:pPr>
            <w:r>
              <w:rPr>
                <w:rFonts w:ascii="Times New Roman" w:hAnsi="Times New Roman"/>
                <w:color w:val="000000"/>
              </w:rPr>
              <w:t>0</w:t>
            </w:r>
          </w:p>
        </w:tc>
        <w:tc>
          <w:tcPr>
            <w:tcW w:w="523" w:type="pct"/>
            <w:vAlign w:val="center"/>
          </w:tcPr>
          <w:p w14:paraId="05FD119C" w14:textId="1A8CF542" w:rsidR="00B05109" w:rsidRPr="005F024A" w:rsidRDefault="007C7999" w:rsidP="00B05109">
            <w:pPr>
              <w:pBdr>
                <w:top w:val="nil"/>
                <w:left w:val="nil"/>
                <w:bottom w:val="nil"/>
                <w:right w:val="nil"/>
                <w:between w:val="nil"/>
              </w:pBdr>
              <w:rPr>
                <w:rFonts w:ascii="Times New Roman" w:hAnsi="Times New Roman"/>
                <w:color w:val="000000"/>
              </w:rPr>
            </w:pPr>
            <w:r>
              <w:rPr>
                <w:rFonts w:ascii="Times New Roman" w:hAnsi="Times New Roman"/>
                <w:color w:val="000000"/>
              </w:rPr>
              <w:t>0</w:t>
            </w:r>
          </w:p>
        </w:tc>
      </w:tr>
    </w:tbl>
    <w:p w14:paraId="322C6414" w14:textId="758E5F97" w:rsidR="001E62B5" w:rsidRPr="005F024A" w:rsidRDefault="001E62B5" w:rsidP="007E2A00">
      <w:pPr>
        <w:widowControl w:val="0"/>
        <w:spacing w:after="0" w:line="360" w:lineRule="auto"/>
        <w:ind w:right="62"/>
        <w:jc w:val="both"/>
        <w:rPr>
          <w:rFonts w:ascii="Times New Roman" w:hAnsi="Times New Roman"/>
          <w:b/>
          <w:i/>
          <w:sz w:val="24"/>
        </w:rPr>
      </w:pPr>
      <w:bookmarkStart w:id="1" w:name="_3znysh7" w:colFirst="0" w:colLast="0"/>
      <w:bookmarkEnd w:id="1"/>
      <w:r>
        <w:rPr>
          <w:rFonts w:ascii="Times New Roman" w:hAnsi="Times New Roman"/>
          <w:b/>
          <w:i/>
          <w:sz w:val="24"/>
        </w:rPr>
        <w:lastRenderedPageBreak/>
        <w:t>B</w:t>
      </w:r>
      <w:r w:rsidRPr="005F024A">
        <w:rPr>
          <w:rFonts w:ascii="Times New Roman" w:hAnsi="Times New Roman"/>
          <w:b/>
          <w:i/>
          <w:sz w:val="24"/>
        </w:rPr>
        <w:t>.4.3. Eğitim faaliyetlerine yönelik teşvik ve ödüllendirme</w:t>
      </w:r>
    </w:p>
    <w:p w14:paraId="6C0831BF"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eğitim-öğretim performansını takdir etmek, tanımak ve ödüllendirmek için kurumun geneline yayılmış teşvik mekanizmaları/tanımlı süreçler </w:t>
      </w:r>
    </w:p>
    <w:p w14:paraId="11696E77"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Bu alanda yürütülen faaliyetlere ilişkin uygulama örnekleri </w:t>
      </w:r>
    </w:p>
    <w:p w14:paraId="14BF8B4C"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 faaliyetlerine yönelik teşvik ve ödüllendirmeye ilişkin kanıtlar </w:t>
      </w:r>
    </w:p>
    <w:p w14:paraId="134FA1B4"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Eğitim kadrosunun eğitim-öğretim performansını takdir-tanıma ve ödüllendirmek üzere yürütülen faaliyetlere ilişkin izleme ve iyileştirme kanıtları </w:t>
      </w:r>
    </w:p>
    <w:p w14:paraId="70FB279E" w14:textId="77777777" w:rsidR="001E62B5" w:rsidRPr="005F024A" w:rsidRDefault="001E62B5" w:rsidP="001E62B5">
      <w:pPr>
        <w:widowControl w:val="0"/>
        <w:numPr>
          <w:ilvl w:val="0"/>
          <w:numId w:val="34"/>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130C0D05" w14:textId="77777777" w:rsidR="00EE0290" w:rsidRDefault="00EE0290" w:rsidP="001E62B5">
      <w:pPr>
        <w:widowControl w:val="0"/>
        <w:spacing w:before="120" w:after="120" w:line="240" w:lineRule="auto"/>
        <w:ind w:right="62"/>
        <w:jc w:val="both"/>
        <w:rPr>
          <w:rFonts w:ascii="Times New Roman" w:eastAsia="Times New Roman" w:hAnsi="Times New Roman"/>
          <w:b/>
          <w:color w:val="2E75B5"/>
          <w:sz w:val="32"/>
          <w:szCs w:val="32"/>
        </w:rPr>
      </w:pPr>
    </w:p>
    <w:p w14:paraId="7C527CF3" w14:textId="77777777" w:rsidR="00EE0290" w:rsidRDefault="00EE0290" w:rsidP="001E62B5">
      <w:pPr>
        <w:widowControl w:val="0"/>
        <w:spacing w:before="120" w:after="120" w:line="240" w:lineRule="auto"/>
        <w:ind w:right="62"/>
        <w:jc w:val="both"/>
        <w:rPr>
          <w:rFonts w:ascii="Times New Roman" w:eastAsia="Times New Roman" w:hAnsi="Times New Roman"/>
          <w:b/>
          <w:color w:val="2E75B5"/>
          <w:sz w:val="32"/>
          <w:szCs w:val="32"/>
        </w:rPr>
      </w:pPr>
    </w:p>
    <w:p w14:paraId="6E2BBF33" w14:textId="505C3462" w:rsidR="001E62B5" w:rsidRPr="005F024A" w:rsidRDefault="001E62B5" w:rsidP="001E62B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1F52E976" w14:textId="77777777" w:rsidR="001E62B5" w:rsidRPr="005F024A" w:rsidRDefault="001E62B5" w:rsidP="001E62B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4AD316ED" w14:textId="77777777" w:rsidR="001E62B5" w:rsidRPr="005F024A" w:rsidRDefault="001E62B5" w:rsidP="001E62B5">
      <w:pPr>
        <w:widowControl w:val="0"/>
        <w:spacing w:after="0" w:line="240" w:lineRule="auto"/>
        <w:ind w:right="63"/>
        <w:jc w:val="both"/>
        <w:rPr>
          <w:rFonts w:ascii="Times New Roman" w:eastAsia="Times New Roman" w:hAnsi="Times New Roman"/>
          <w:sz w:val="24"/>
          <w:szCs w:val="24"/>
        </w:rPr>
      </w:pPr>
    </w:p>
    <w:p w14:paraId="1F2371BE"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2DCF523A"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05924A80"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i/>
          <w:color w:val="FF0000"/>
          <w:sz w:val="24"/>
          <w:szCs w:val="24"/>
        </w:rPr>
      </w:pPr>
      <w:r>
        <w:rPr>
          <w:rFonts w:ascii="Times New Roman" w:hAnsi="Times New Roman"/>
          <w:b/>
          <w:i/>
        </w:rPr>
        <w:t>C</w:t>
      </w:r>
      <w:r w:rsidRPr="005F024A">
        <w:rPr>
          <w:rFonts w:ascii="Times New Roman" w:hAnsi="Times New Roman"/>
          <w:b/>
          <w:i/>
        </w:rPr>
        <w:t>.1.1. Araştırma süreçlerinin yönetimi</w:t>
      </w:r>
    </w:p>
    <w:p w14:paraId="5840B24B"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süreçlerin yönetimi ve organizasyon yapısı </w:t>
      </w:r>
    </w:p>
    <w:p w14:paraId="4504BE03"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yönetişim modeli ve uygulamaları </w:t>
      </w:r>
    </w:p>
    <w:p w14:paraId="61FA5FF7"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 xml:space="preserve">Araştırma yönetimi ve organizasyonel yapının işlerliğinin izlendiği ve iyileştirildiğine ilişkin kanıtlar </w:t>
      </w:r>
    </w:p>
    <w:p w14:paraId="5D406FA1" w14:textId="77777777" w:rsidR="001E62B5" w:rsidRPr="005F024A" w:rsidRDefault="001E62B5" w:rsidP="001E62B5">
      <w:pPr>
        <w:widowControl w:val="0"/>
        <w:numPr>
          <w:ilvl w:val="0"/>
          <w:numId w:val="35"/>
        </w:numPr>
        <w:spacing w:after="0" w:line="240" w:lineRule="auto"/>
        <w:ind w:left="426" w:right="62" w:hanging="284"/>
        <w:jc w:val="both"/>
        <w:rPr>
          <w:rFonts w:ascii="Times New Roman" w:eastAsia="Times New Roman" w:hAnsi="Times New Roman"/>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0C0758B8" w14:textId="77777777" w:rsidR="001E62B5" w:rsidRPr="005F024A" w:rsidRDefault="001E62B5" w:rsidP="001E62B5">
      <w:pPr>
        <w:widowControl w:val="0"/>
        <w:spacing w:after="0" w:line="240" w:lineRule="auto"/>
        <w:ind w:left="709" w:right="62"/>
        <w:jc w:val="both"/>
        <w:rPr>
          <w:rFonts w:ascii="Times New Roman" w:eastAsia="Times New Roman" w:hAnsi="Times New Roman"/>
          <w:sz w:val="24"/>
          <w:szCs w:val="24"/>
        </w:rPr>
      </w:pPr>
    </w:p>
    <w:p w14:paraId="10E34D88" w14:textId="77777777" w:rsidR="001E62B5" w:rsidRPr="005F024A" w:rsidRDefault="001E62B5" w:rsidP="001E62B5">
      <w:pPr>
        <w:widowControl w:val="0"/>
        <w:spacing w:after="0" w:line="240" w:lineRule="auto"/>
        <w:ind w:left="507" w:right="63" w:hanging="389"/>
        <w:jc w:val="both"/>
        <w:rPr>
          <w:rFonts w:ascii="Times New Roman" w:hAnsi="Times New Roman"/>
          <w:b/>
          <w:i/>
        </w:rPr>
      </w:pPr>
      <w:r>
        <w:rPr>
          <w:rFonts w:ascii="Times New Roman" w:hAnsi="Times New Roman"/>
          <w:b/>
          <w:i/>
        </w:rPr>
        <w:t>C</w:t>
      </w:r>
      <w:r w:rsidRPr="005F024A">
        <w:rPr>
          <w:rFonts w:ascii="Times New Roman" w:hAnsi="Times New Roman"/>
          <w:b/>
          <w:i/>
        </w:rPr>
        <w:t>.1.2. İç ve dış kaynaklar</w:t>
      </w:r>
    </w:p>
    <w:p w14:paraId="7B222734"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Araştırma-geliştirme bütçesi ve dağılımı </w:t>
      </w:r>
    </w:p>
    <w:p w14:paraId="6846FD0F"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 çerçevesinde yapılan stratejik ortaklıklar (Kamu veya özel) </w:t>
      </w:r>
    </w:p>
    <w:p w14:paraId="06671C5E"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Araştırma-geliştirme kaynaklarının araştırma stratejisi doğrultusunda yönetildiğini gösteren kanıtlar </w:t>
      </w:r>
    </w:p>
    <w:p w14:paraId="3CB7F58D"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Araştırma kaynaklarının çeşitliliği ve yeterliliğinin izlendiğine ve iyileştirildiğine ilişkin kanıtlar </w:t>
      </w:r>
    </w:p>
    <w:p w14:paraId="7853ECEC"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İç kaynaklar ve kullanımına ilişkin tanımlı süreçler (BAP Yönergesi, İç Kaynak Kullanım Yönergesi vb.) </w:t>
      </w:r>
    </w:p>
    <w:p w14:paraId="46B51D9C"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İç kaynakların birimler arası dağılımı </w:t>
      </w:r>
    </w:p>
    <w:p w14:paraId="2D3DB786"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kaynakların kullanımını desteklemek üzere oluşturulmuş yöntem ve birimler </w:t>
      </w:r>
    </w:p>
    <w:p w14:paraId="33B65EF4"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kaynakların dağılımını gösteren kanıtlar </w:t>
      </w:r>
    </w:p>
    <w:p w14:paraId="76659738"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 xml:space="preserve">Dış kaynaklarda yıllar itibarıyla gerçekleşen değişimler </w:t>
      </w:r>
    </w:p>
    <w:p w14:paraId="326744B8" w14:textId="77777777" w:rsidR="001E62B5" w:rsidRPr="005F024A" w:rsidRDefault="001E62B5" w:rsidP="001E62B5">
      <w:pPr>
        <w:widowControl w:val="0"/>
        <w:numPr>
          <w:ilvl w:val="0"/>
          <w:numId w:val="36"/>
        </w:numPr>
        <w:spacing w:after="0" w:line="240" w:lineRule="auto"/>
        <w:ind w:left="426" w:right="63" w:hanging="284"/>
        <w:jc w:val="both"/>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3EC4069C" w14:textId="77777777" w:rsidR="001E62B5" w:rsidRPr="005F024A" w:rsidRDefault="001E62B5" w:rsidP="001E62B5">
      <w:pPr>
        <w:widowControl w:val="0"/>
        <w:spacing w:after="0" w:line="240" w:lineRule="auto"/>
        <w:ind w:right="63"/>
        <w:jc w:val="both"/>
        <w:rPr>
          <w:rFonts w:ascii="Times New Roman" w:hAnsi="Times New Roman"/>
        </w:rPr>
      </w:pPr>
    </w:p>
    <w:p w14:paraId="013E5841" w14:textId="77777777" w:rsidR="001E62B5" w:rsidRPr="005F024A" w:rsidRDefault="001E62B5" w:rsidP="001E62B5">
      <w:pPr>
        <w:widowControl w:val="0"/>
        <w:spacing w:after="0" w:line="240" w:lineRule="auto"/>
        <w:ind w:right="63"/>
        <w:jc w:val="both"/>
        <w:rPr>
          <w:rFonts w:ascii="Times New Roman" w:hAnsi="Times New Roman"/>
          <w:b/>
          <w:i/>
        </w:rPr>
      </w:pPr>
      <w:r>
        <w:rPr>
          <w:rFonts w:ascii="Times New Roman" w:hAnsi="Times New Roman"/>
          <w:b/>
          <w:i/>
        </w:rPr>
        <w:t>C</w:t>
      </w:r>
      <w:r w:rsidRPr="005F024A">
        <w:rPr>
          <w:rFonts w:ascii="Times New Roman" w:hAnsi="Times New Roman"/>
          <w:b/>
          <w:i/>
        </w:rPr>
        <w:t>.1.3. Doktora programları ve doktora sonrası imkanlar</w:t>
      </w:r>
    </w:p>
    <w:p w14:paraId="4FCC7753"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Doktora programları ve doktora sonrası imkanlara ilişkin kanıtlar </w:t>
      </w:r>
    </w:p>
    <w:p w14:paraId="720A9074"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Bu programlar ve imkanlardan yararlanan öğrenci/araştırmacı sayıları ve bunların birimlere göre dağılımı </w:t>
      </w:r>
    </w:p>
    <w:p w14:paraId="1A54ADA0"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Doktora programları ve doktora sonrası imkanlara yönelik izleme ve iyileştirme kanıtları </w:t>
      </w:r>
    </w:p>
    <w:p w14:paraId="3D9593CA" w14:textId="77777777" w:rsidR="001E62B5" w:rsidRPr="005F024A" w:rsidRDefault="001E62B5" w:rsidP="001E62B5">
      <w:pPr>
        <w:widowControl w:val="0"/>
        <w:numPr>
          <w:ilvl w:val="0"/>
          <w:numId w:val="37"/>
        </w:numPr>
        <w:spacing w:after="0" w:line="240" w:lineRule="auto"/>
        <w:ind w:left="426" w:right="63" w:hanging="284"/>
        <w:jc w:val="both"/>
        <w:rPr>
          <w:rFonts w:ascii="Times New Roman" w:hAnsi="Times New Roman"/>
          <w:b/>
          <w:i/>
        </w:rPr>
      </w:pPr>
      <w:r w:rsidRPr="005F024A">
        <w:rPr>
          <w:rFonts w:ascii="Times New Roman" w:hAnsi="Times New Roman"/>
        </w:rPr>
        <w:t xml:space="preserve">Standart uygulamalar ve mevzuatın yanı sıra kurumun ihtiyaçları doğrultusunda geliştirdiği özgün </w:t>
      </w:r>
      <w:proofErr w:type="gramStart"/>
      <w:r w:rsidRPr="005F024A">
        <w:rPr>
          <w:rFonts w:ascii="Times New Roman" w:hAnsi="Times New Roman"/>
        </w:rPr>
        <w:lastRenderedPageBreak/>
        <w:t>yaklaşım</w:t>
      </w:r>
      <w:proofErr w:type="gramEnd"/>
      <w:r w:rsidRPr="005F024A">
        <w:rPr>
          <w:rFonts w:ascii="Times New Roman" w:hAnsi="Times New Roman"/>
        </w:rPr>
        <w:t xml:space="preserve"> ve uygulamalarına ilişkin kanıtlar</w:t>
      </w:r>
    </w:p>
    <w:p w14:paraId="2E537CDB" w14:textId="77777777" w:rsidR="001E62B5" w:rsidRPr="005F024A" w:rsidRDefault="001E62B5" w:rsidP="001E62B5">
      <w:pPr>
        <w:widowControl w:val="0"/>
        <w:spacing w:after="0" w:line="240" w:lineRule="auto"/>
        <w:ind w:right="63"/>
        <w:jc w:val="both"/>
        <w:rPr>
          <w:rFonts w:ascii="Times New Roman" w:hAnsi="Times New Roman"/>
          <w:b/>
          <w:i/>
        </w:rPr>
      </w:pPr>
    </w:p>
    <w:p w14:paraId="53E9BA8B"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48A6504B"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2F63395E"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hAnsi="Times New Roman"/>
          <w:b/>
          <w:i/>
        </w:rPr>
        <w:t>C</w:t>
      </w:r>
      <w:r w:rsidRPr="005F024A">
        <w:rPr>
          <w:rFonts w:ascii="Times New Roman" w:hAnsi="Times New Roman"/>
          <w:b/>
          <w:i/>
        </w:rPr>
        <w:t xml:space="preserve">.2.1. </w:t>
      </w:r>
      <w:r w:rsidRPr="005F024A">
        <w:rPr>
          <w:rFonts w:ascii="Times New Roman" w:hAnsi="Times New Roman"/>
          <w:b/>
        </w:rPr>
        <w:t>Araştırma yetkinlikleri ve gelişimi</w:t>
      </w:r>
    </w:p>
    <w:p w14:paraId="0C9CA91D"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araştırma yetkinliğinin geliştirilmesine yönelik planlama ve uygulamalar (destekleyici eğitimler, uluslararası fırsatlar, proje iş birliği çalışmaları vb.) </w:t>
      </w:r>
    </w:p>
    <w:p w14:paraId="71106877"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geri bildirimleri </w:t>
      </w:r>
    </w:p>
    <w:p w14:paraId="1D84A082"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 xml:space="preserve">Öğretim elemanlarının araştırma yetkinliğinin izlenmesi ve iyileştirilmesine ilişkin kanıtlar </w:t>
      </w:r>
    </w:p>
    <w:p w14:paraId="040E57B3" w14:textId="77777777" w:rsidR="001E62B5" w:rsidRPr="005F024A" w:rsidRDefault="001E62B5" w:rsidP="001E62B5">
      <w:pPr>
        <w:widowControl w:val="0"/>
        <w:numPr>
          <w:ilvl w:val="0"/>
          <w:numId w:val="38"/>
        </w:numPr>
        <w:spacing w:after="0" w:line="240" w:lineRule="auto"/>
        <w:ind w:left="426" w:right="63" w:hanging="284"/>
        <w:jc w:val="both"/>
        <w:rPr>
          <w:rFonts w:ascii="Times New Roman" w:eastAsia="Times New Roman" w:hAnsi="Times New Roman"/>
          <w:b/>
          <w:color w:val="FF0000"/>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3547118B" w14:textId="77777777" w:rsidR="001E62B5" w:rsidRPr="005F024A" w:rsidRDefault="001E62B5" w:rsidP="001E62B5">
      <w:pPr>
        <w:widowControl w:val="0"/>
        <w:spacing w:after="0" w:line="240" w:lineRule="auto"/>
        <w:ind w:right="63"/>
        <w:jc w:val="both"/>
        <w:rPr>
          <w:rFonts w:ascii="Times New Roman" w:hAnsi="Times New Roman"/>
          <w:b/>
          <w:i/>
        </w:rPr>
      </w:pPr>
    </w:p>
    <w:p w14:paraId="0278DF16" w14:textId="77777777" w:rsidR="001E62B5" w:rsidRPr="005F024A" w:rsidRDefault="001E62B5" w:rsidP="001E62B5">
      <w:pPr>
        <w:widowControl w:val="0"/>
        <w:spacing w:after="0" w:line="240" w:lineRule="auto"/>
        <w:ind w:right="63"/>
        <w:jc w:val="both"/>
        <w:rPr>
          <w:rFonts w:ascii="Times New Roman" w:hAnsi="Times New Roman"/>
          <w:b/>
        </w:rPr>
      </w:pPr>
      <w:r>
        <w:rPr>
          <w:rFonts w:ascii="Times New Roman" w:hAnsi="Times New Roman"/>
          <w:b/>
          <w:i/>
        </w:rPr>
        <w:t>C</w:t>
      </w:r>
      <w:r w:rsidRPr="005F024A">
        <w:rPr>
          <w:rFonts w:ascii="Times New Roman" w:hAnsi="Times New Roman"/>
          <w:b/>
          <w:i/>
        </w:rPr>
        <w:t xml:space="preserve">.2.2. </w:t>
      </w:r>
      <w:r w:rsidRPr="005F024A">
        <w:rPr>
          <w:rFonts w:ascii="Times New Roman" w:hAnsi="Times New Roman"/>
          <w:b/>
        </w:rPr>
        <w:t>Ulusal ve uluslararası ortak programlar ve ortak araştırma birimleri</w:t>
      </w:r>
    </w:p>
    <w:p w14:paraId="7212FD72"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Ulusal ve uluslararası düzeyde ortak programlar ve ortak araştırma birimleri oluşturulmasına yönelik mekanizmalar </w:t>
      </w:r>
    </w:p>
    <w:p w14:paraId="5D91EFEE"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Ortak programlar ve ortak araştırma faaliyetlerine yönelik ikili anlaşmalar ve iş birliklerine ilişkin kanıtlar </w:t>
      </w:r>
    </w:p>
    <w:p w14:paraId="42AE756C"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Kurumun dahil olduğu araştırma ağları, kurumun ortak programları ve araştırma birimleri, ortak araştırmalardan üretilen çalışmalar ve projeler </w:t>
      </w:r>
    </w:p>
    <w:p w14:paraId="39DB82A8"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Paydaş geri bildirimleri </w:t>
      </w:r>
    </w:p>
    <w:p w14:paraId="35303961"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 xml:space="preserve">Ortak programlar ve ortak araştırma faaliyetlerinin izlenmesine ve iyileştirilmesine yönelik kanıtlar </w:t>
      </w:r>
    </w:p>
    <w:p w14:paraId="1616099E" w14:textId="77777777" w:rsidR="001E62B5" w:rsidRPr="005F024A" w:rsidRDefault="001E62B5" w:rsidP="001E62B5">
      <w:pPr>
        <w:widowControl w:val="0"/>
        <w:numPr>
          <w:ilvl w:val="0"/>
          <w:numId w:val="39"/>
        </w:numPr>
        <w:spacing w:after="0" w:line="240" w:lineRule="auto"/>
        <w:ind w:left="426" w:right="63" w:hanging="284"/>
        <w:jc w:val="both"/>
        <w:rPr>
          <w:rFonts w:ascii="Times New Roman" w:eastAsia="Times New Roman" w:hAnsi="Times New Roman"/>
          <w:b/>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67BC1E5" w14:textId="77777777" w:rsidR="001E62B5" w:rsidRPr="005F024A" w:rsidRDefault="001E62B5" w:rsidP="001E62B5">
      <w:pPr>
        <w:widowControl w:val="0"/>
        <w:spacing w:after="0" w:line="240" w:lineRule="auto"/>
        <w:ind w:right="63"/>
        <w:jc w:val="both"/>
        <w:rPr>
          <w:rFonts w:ascii="Times New Roman" w:eastAsia="Times New Roman" w:hAnsi="Times New Roman"/>
          <w:b/>
          <w:color w:val="FF0000"/>
          <w:sz w:val="24"/>
          <w:szCs w:val="24"/>
        </w:rPr>
      </w:pPr>
    </w:p>
    <w:p w14:paraId="34CA63AE" w14:textId="77777777" w:rsidR="001E62B5" w:rsidRPr="005F024A" w:rsidRDefault="001E62B5" w:rsidP="001E62B5">
      <w:pPr>
        <w:spacing w:after="0" w:line="240" w:lineRule="auto"/>
        <w:jc w:val="both"/>
        <w:rPr>
          <w:rFonts w:ascii="Times New Roman" w:eastAsia="Times New Roman" w:hAnsi="Times New Roman"/>
        </w:rPr>
      </w:pPr>
    </w:p>
    <w:p w14:paraId="535EDCDB"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794BA4CE"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65FE7E93" w14:textId="77777777" w:rsidR="001E62B5" w:rsidRPr="005F024A" w:rsidRDefault="001E62B5" w:rsidP="001E62B5">
      <w:pPr>
        <w:spacing w:after="0" w:line="240" w:lineRule="auto"/>
        <w:ind w:left="119" w:hanging="119"/>
        <w:rPr>
          <w:rFonts w:ascii="Times New Roman" w:hAnsi="Times New Roman"/>
          <w:b/>
          <w:i/>
        </w:rPr>
      </w:pPr>
      <w:r>
        <w:rPr>
          <w:rFonts w:ascii="Times New Roman" w:hAnsi="Times New Roman"/>
          <w:b/>
          <w:i/>
        </w:rPr>
        <w:t>C</w:t>
      </w:r>
      <w:r w:rsidRPr="005F024A">
        <w:rPr>
          <w:rFonts w:ascii="Times New Roman" w:hAnsi="Times New Roman"/>
          <w:b/>
          <w:i/>
        </w:rPr>
        <w:t>.3.1. Araştırma performansının izlenmesi ve değerlendirilmesi</w:t>
      </w:r>
    </w:p>
    <w:p w14:paraId="6F4AC476"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performansını izlemek üzere geçerli olan tanımlı süreçler </w:t>
      </w:r>
    </w:p>
    <w:p w14:paraId="225FD4C3"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hedeflerine ulaşılıp ulaşılmadığını izlemek üzere oluşturulan mekanizmalar </w:t>
      </w:r>
    </w:p>
    <w:p w14:paraId="5171F3E9"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Paydaş geri bildirimleri </w:t>
      </w:r>
    </w:p>
    <w:p w14:paraId="1BA71EE4"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 xml:space="preserve">Araştırma performansının izlenmesine ve iyileştirilmesine ilişkin kanıtlar </w:t>
      </w:r>
    </w:p>
    <w:p w14:paraId="7558E438" w14:textId="77777777" w:rsidR="001E62B5" w:rsidRPr="005F024A" w:rsidRDefault="001E62B5" w:rsidP="001E62B5">
      <w:pPr>
        <w:numPr>
          <w:ilvl w:val="0"/>
          <w:numId w:val="40"/>
        </w:numPr>
        <w:spacing w:after="0" w:line="240" w:lineRule="auto"/>
        <w:ind w:left="426" w:hanging="284"/>
        <w:rPr>
          <w:rFonts w:ascii="Times New Roman" w:eastAsia="Times New Roman" w:hAnsi="Times New Roman"/>
          <w:b/>
          <w:i/>
          <w:sz w:val="24"/>
          <w:szCs w:val="24"/>
        </w:rPr>
      </w:pPr>
      <w:r w:rsidRPr="005F024A">
        <w:rPr>
          <w:rFonts w:ascii="Times New Roman" w:hAnsi="Times New Roman"/>
        </w:rPr>
        <w:t>Standart uygulamalar ve mevzuatın yanı sıra kurumun ihtiyaçları doğrultusunda geliştirdiği özgün yaklaşım ve uygulamalarına ilişkin kanıtlar</w:t>
      </w:r>
    </w:p>
    <w:p w14:paraId="6E383EEA" w14:textId="77777777" w:rsidR="001E62B5" w:rsidRPr="005F024A" w:rsidRDefault="001E62B5" w:rsidP="001E62B5">
      <w:pPr>
        <w:spacing w:after="0" w:line="240" w:lineRule="auto"/>
        <w:ind w:left="720"/>
        <w:rPr>
          <w:rFonts w:ascii="Times New Roman" w:eastAsia="Times New Roman" w:hAnsi="Times New Roman"/>
          <w:b/>
          <w:i/>
          <w:sz w:val="24"/>
          <w:szCs w:val="24"/>
        </w:rPr>
      </w:pPr>
    </w:p>
    <w:p w14:paraId="7ED27989" w14:textId="77777777" w:rsidR="001E62B5" w:rsidRPr="005F024A" w:rsidRDefault="001E62B5" w:rsidP="001E62B5">
      <w:pPr>
        <w:spacing w:after="0" w:line="240" w:lineRule="auto"/>
        <w:ind w:left="720" w:hanging="720"/>
        <w:rPr>
          <w:rFonts w:ascii="Times New Roman" w:hAnsi="Times New Roman"/>
          <w:b/>
          <w:i/>
        </w:rPr>
      </w:pPr>
      <w:r>
        <w:rPr>
          <w:rFonts w:ascii="Times New Roman" w:hAnsi="Times New Roman"/>
          <w:b/>
          <w:i/>
        </w:rPr>
        <w:t>C</w:t>
      </w:r>
      <w:r w:rsidRPr="005F024A">
        <w:rPr>
          <w:rFonts w:ascii="Times New Roman" w:hAnsi="Times New Roman"/>
          <w:b/>
          <w:i/>
        </w:rPr>
        <w:t>.3.2. Öğretim elemanı/araştırmacı performansının değerlendirilmesi</w:t>
      </w:r>
    </w:p>
    <w:p w14:paraId="6B8D7793"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Akademik personelin araştırma-geliştirme performansını izlemek üzere geçerli olan tanımlı süreçler (Yönetmelik, yönerge, süreç tanımı, ölçme araçları, rehber, kılavuz, takdir-tanıma sistemi, teşvik mekanizmaları vb.) </w:t>
      </w:r>
    </w:p>
    <w:p w14:paraId="2D313784"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Öğretim elemanlarının araştırma performansına yönelik analiz raporları </w:t>
      </w:r>
    </w:p>
    <w:p w14:paraId="542B9932"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Öğretim elemanlarının geri bildirimleri </w:t>
      </w:r>
    </w:p>
    <w:p w14:paraId="27A0EFA1"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 xml:space="preserve">Araştırma geliştirme performansına ilişkin izleme ve iyileştirme kanıtları </w:t>
      </w:r>
    </w:p>
    <w:p w14:paraId="6415AC82" w14:textId="77777777" w:rsidR="001E62B5" w:rsidRPr="005F024A" w:rsidRDefault="001E62B5" w:rsidP="001E62B5">
      <w:pPr>
        <w:numPr>
          <w:ilvl w:val="0"/>
          <w:numId w:val="41"/>
        </w:numPr>
        <w:spacing w:after="0" w:line="240" w:lineRule="auto"/>
        <w:ind w:left="426" w:hanging="284"/>
        <w:rPr>
          <w:rFonts w:ascii="Times New Roman" w:hAnsi="Times New Roman"/>
          <w:b/>
          <w:i/>
        </w:rPr>
      </w:pPr>
      <w:r w:rsidRPr="005F024A">
        <w:rPr>
          <w:rFonts w:ascii="Times New Roman" w:hAnsi="Times New Roman"/>
        </w:rPr>
        <w:t>Standart uygulamalar ve mevzuatın yanı sıra kurumun ihtiyaçları doğrultusunda geliştirdiği özgün yaklaşım ve uygulamalarına ilişkin kanıtlar</w:t>
      </w:r>
    </w:p>
    <w:p w14:paraId="2E87D9D5" w14:textId="77777777" w:rsidR="001E62B5" w:rsidRPr="005F024A" w:rsidRDefault="001E62B5" w:rsidP="001E62B5">
      <w:pPr>
        <w:spacing w:after="0" w:line="240" w:lineRule="auto"/>
        <w:ind w:left="720" w:hanging="720"/>
        <w:rPr>
          <w:rFonts w:ascii="Times New Roman" w:hAnsi="Times New Roman"/>
          <w:b/>
          <w:i/>
        </w:rPr>
      </w:pPr>
    </w:p>
    <w:p w14:paraId="2CBC9BB8" w14:textId="77777777" w:rsidR="001E62B5" w:rsidRPr="005F024A" w:rsidRDefault="001E62B5" w:rsidP="001E62B5">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4. 2023 Yılında Tamamlanan Proje Bilgileri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2186"/>
        <w:gridCol w:w="1887"/>
        <w:gridCol w:w="1965"/>
        <w:gridCol w:w="1941"/>
      </w:tblGrid>
      <w:tr w:rsidR="001E62B5" w:rsidRPr="005F024A" w14:paraId="24429ACE" w14:textId="77777777" w:rsidTr="00EB1A4D">
        <w:trPr>
          <w:trHeight w:val="199"/>
          <w:jc w:val="center"/>
        </w:trPr>
        <w:tc>
          <w:tcPr>
            <w:tcW w:w="598" w:type="pct"/>
            <w:tcBorders>
              <w:bottom w:val="single" w:sz="4" w:space="0" w:color="000000"/>
            </w:tcBorders>
            <w:vAlign w:val="center"/>
          </w:tcPr>
          <w:p w14:paraId="5AAEA56E" w14:textId="77777777" w:rsidR="001E62B5" w:rsidRPr="005F024A" w:rsidRDefault="001E62B5" w:rsidP="00EB1A4D">
            <w:pPr>
              <w:pBdr>
                <w:top w:val="nil"/>
                <w:left w:val="nil"/>
                <w:bottom w:val="nil"/>
                <w:right w:val="nil"/>
                <w:between w:val="nil"/>
              </w:pBdr>
              <w:rPr>
                <w:rFonts w:ascii="Times New Roman" w:hAnsi="Times New Roman"/>
                <w:color w:val="000000"/>
              </w:rPr>
            </w:pPr>
            <w:bookmarkStart w:id="2" w:name="_tyjcwt" w:colFirst="0" w:colLast="0"/>
            <w:bookmarkEnd w:id="2"/>
            <w:r w:rsidRPr="005F024A">
              <w:rPr>
                <w:rFonts w:ascii="Times New Roman" w:hAnsi="Times New Roman"/>
                <w:color w:val="000000"/>
              </w:rPr>
              <w:t>Proje No</w:t>
            </w:r>
          </w:p>
        </w:tc>
        <w:tc>
          <w:tcPr>
            <w:tcW w:w="1206" w:type="pct"/>
            <w:tcBorders>
              <w:bottom w:val="single" w:sz="4" w:space="0" w:color="000000"/>
            </w:tcBorders>
            <w:vAlign w:val="center"/>
          </w:tcPr>
          <w:p w14:paraId="790D40A7" w14:textId="77777777" w:rsidR="001E62B5" w:rsidRPr="005F024A" w:rsidRDefault="001E62B5" w:rsidP="00EB1A4D">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 Yürütücüsü</w:t>
            </w:r>
          </w:p>
        </w:tc>
        <w:tc>
          <w:tcPr>
            <w:tcW w:w="1041" w:type="pct"/>
            <w:tcBorders>
              <w:bottom w:val="single" w:sz="4" w:space="0" w:color="000000"/>
            </w:tcBorders>
            <w:vAlign w:val="center"/>
          </w:tcPr>
          <w:p w14:paraId="0C7642C1" w14:textId="77777777" w:rsidR="001E62B5" w:rsidRPr="005F024A" w:rsidRDefault="001E62B5" w:rsidP="00EB1A4D">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Projenin Adı</w:t>
            </w:r>
          </w:p>
        </w:tc>
        <w:tc>
          <w:tcPr>
            <w:tcW w:w="1084" w:type="pct"/>
            <w:tcBorders>
              <w:bottom w:val="single" w:sz="4" w:space="0" w:color="000000"/>
            </w:tcBorders>
            <w:vAlign w:val="center"/>
          </w:tcPr>
          <w:p w14:paraId="2FEB91CC" w14:textId="77777777" w:rsidR="001E62B5" w:rsidRPr="005F024A" w:rsidRDefault="001E62B5" w:rsidP="00EB1A4D">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Proje Bütçesi</w:t>
            </w:r>
          </w:p>
        </w:tc>
        <w:tc>
          <w:tcPr>
            <w:tcW w:w="1071" w:type="pct"/>
            <w:tcBorders>
              <w:bottom w:val="single" w:sz="4" w:space="0" w:color="000000"/>
            </w:tcBorders>
            <w:vAlign w:val="center"/>
          </w:tcPr>
          <w:p w14:paraId="7B4514F9" w14:textId="77777777" w:rsidR="001E62B5" w:rsidRPr="005F024A" w:rsidRDefault="001E62B5" w:rsidP="00EB1A4D">
            <w:pPr>
              <w:pBdr>
                <w:top w:val="nil"/>
                <w:left w:val="nil"/>
                <w:bottom w:val="nil"/>
                <w:right w:val="nil"/>
                <w:between w:val="nil"/>
              </w:pBdr>
              <w:rPr>
                <w:rFonts w:ascii="Times New Roman" w:hAnsi="Times New Roman"/>
                <w:color w:val="000000"/>
              </w:rPr>
            </w:pPr>
            <w:r w:rsidRPr="005F024A">
              <w:rPr>
                <w:rFonts w:ascii="Times New Roman" w:hAnsi="Times New Roman"/>
                <w:color w:val="000000"/>
              </w:rPr>
              <w:t>Destekleyen Birim</w:t>
            </w:r>
          </w:p>
        </w:tc>
      </w:tr>
      <w:tr w:rsidR="001E62B5" w:rsidRPr="005F024A" w14:paraId="5A3EF615" w14:textId="77777777" w:rsidTr="00EB1A4D">
        <w:trPr>
          <w:trHeight w:val="199"/>
          <w:jc w:val="center"/>
        </w:trPr>
        <w:tc>
          <w:tcPr>
            <w:tcW w:w="598" w:type="pct"/>
            <w:tcBorders>
              <w:top w:val="single" w:sz="4" w:space="0" w:color="000000"/>
            </w:tcBorders>
            <w:vAlign w:val="center"/>
          </w:tcPr>
          <w:p w14:paraId="2A399E8A"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206" w:type="pct"/>
            <w:tcBorders>
              <w:top w:val="single" w:sz="4" w:space="0" w:color="000000"/>
            </w:tcBorders>
            <w:vAlign w:val="center"/>
          </w:tcPr>
          <w:p w14:paraId="7F83D577"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041" w:type="pct"/>
            <w:tcBorders>
              <w:top w:val="single" w:sz="4" w:space="0" w:color="000000"/>
            </w:tcBorders>
            <w:vAlign w:val="center"/>
          </w:tcPr>
          <w:p w14:paraId="7FA1456A"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084" w:type="pct"/>
            <w:tcBorders>
              <w:top w:val="single" w:sz="4" w:space="0" w:color="000000"/>
            </w:tcBorders>
            <w:vAlign w:val="center"/>
          </w:tcPr>
          <w:p w14:paraId="68F0F834"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071" w:type="pct"/>
            <w:tcBorders>
              <w:top w:val="single" w:sz="4" w:space="0" w:color="000000"/>
            </w:tcBorders>
            <w:vAlign w:val="center"/>
          </w:tcPr>
          <w:p w14:paraId="7F6ED71A" w14:textId="77777777" w:rsidR="001E62B5" w:rsidRPr="005F024A" w:rsidRDefault="001E62B5" w:rsidP="00EB1A4D">
            <w:pPr>
              <w:pBdr>
                <w:top w:val="nil"/>
                <w:left w:val="nil"/>
                <w:bottom w:val="nil"/>
                <w:right w:val="nil"/>
                <w:between w:val="nil"/>
              </w:pBdr>
              <w:rPr>
                <w:rFonts w:ascii="Times New Roman" w:hAnsi="Times New Roman"/>
                <w:color w:val="000000"/>
              </w:rPr>
            </w:pPr>
          </w:p>
        </w:tc>
      </w:tr>
      <w:tr w:rsidR="001E62B5" w:rsidRPr="005F024A" w14:paraId="111DA892" w14:textId="77777777" w:rsidTr="00EB1A4D">
        <w:trPr>
          <w:trHeight w:val="199"/>
          <w:jc w:val="center"/>
        </w:trPr>
        <w:tc>
          <w:tcPr>
            <w:tcW w:w="598" w:type="pct"/>
            <w:vAlign w:val="center"/>
          </w:tcPr>
          <w:p w14:paraId="3C73645D"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206" w:type="pct"/>
            <w:vAlign w:val="center"/>
          </w:tcPr>
          <w:p w14:paraId="31DE0A5E"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041" w:type="pct"/>
            <w:vAlign w:val="center"/>
          </w:tcPr>
          <w:p w14:paraId="2E409609"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084" w:type="pct"/>
            <w:vAlign w:val="center"/>
          </w:tcPr>
          <w:p w14:paraId="7EC8A198" w14:textId="77777777" w:rsidR="001E62B5" w:rsidRPr="005F024A" w:rsidRDefault="001E62B5" w:rsidP="00EB1A4D">
            <w:pPr>
              <w:pBdr>
                <w:top w:val="nil"/>
                <w:left w:val="nil"/>
                <w:bottom w:val="nil"/>
                <w:right w:val="nil"/>
                <w:between w:val="nil"/>
              </w:pBdr>
              <w:rPr>
                <w:rFonts w:ascii="Times New Roman" w:hAnsi="Times New Roman"/>
                <w:color w:val="000000"/>
              </w:rPr>
            </w:pPr>
          </w:p>
        </w:tc>
        <w:tc>
          <w:tcPr>
            <w:tcW w:w="1071" w:type="pct"/>
            <w:vAlign w:val="center"/>
          </w:tcPr>
          <w:p w14:paraId="71EC4B9D" w14:textId="77777777" w:rsidR="001E62B5" w:rsidRPr="005F024A" w:rsidRDefault="001E62B5" w:rsidP="00EB1A4D">
            <w:pPr>
              <w:pBdr>
                <w:top w:val="nil"/>
                <w:left w:val="nil"/>
                <w:bottom w:val="nil"/>
                <w:right w:val="nil"/>
                <w:between w:val="nil"/>
              </w:pBdr>
              <w:rPr>
                <w:rFonts w:ascii="Times New Roman" w:hAnsi="Times New Roman"/>
                <w:color w:val="000000"/>
              </w:rPr>
            </w:pPr>
          </w:p>
        </w:tc>
      </w:tr>
    </w:tbl>
    <w:p w14:paraId="129CAE3A" w14:textId="77777777" w:rsidR="00EE0290" w:rsidRDefault="00EE0290" w:rsidP="001E62B5">
      <w:pPr>
        <w:widowControl w:val="0"/>
        <w:spacing w:before="120" w:after="120" w:line="240" w:lineRule="auto"/>
        <w:ind w:right="62"/>
        <w:jc w:val="both"/>
        <w:rPr>
          <w:rFonts w:ascii="Times New Roman" w:eastAsia="Times New Roman" w:hAnsi="Times New Roman"/>
          <w:b/>
          <w:color w:val="2E75B5"/>
          <w:sz w:val="32"/>
          <w:szCs w:val="32"/>
        </w:rPr>
      </w:pPr>
    </w:p>
    <w:p w14:paraId="5A3B40D5" w14:textId="542460A6" w:rsidR="001E62B5" w:rsidRPr="005F024A" w:rsidRDefault="001E62B5" w:rsidP="001E62B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2E331361" w14:textId="77777777" w:rsidR="001E62B5" w:rsidRPr="005F024A" w:rsidRDefault="001E62B5" w:rsidP="001E62B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787B4E92"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2D822B2E"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75BF4C2A"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i/>
          <w:sz w:val="24"/>
          <w:szCs w:val="24"/>
        </w:rPr>
      </w:pPr>
    </w:p>
    <w:p w14:paraId="46D9D9E6" w14:textId="77777777" w:rsidR="001E62B5" w:rsidRPr="005F024A" w:rsidRDefault="001E62B5" w:rsidP="001E62B5">
      <w:pPr>
        <w:spacing w:after="0" w:line="240" w:lineRule="auto"/>
        <w:jc w:val="both"/>
        <w:rPr>
          <w:rFonts w:ascii="Times New Roman" w:hAnsi="Times New Roman"/>
          <w:b/>
          <w:i/>
          <w:color w:val="000000"/>
          <w:sz w:val="24"/>
          <w:szCs w:val="24"/>
          <w:u w:val="single"/>
        </w:rPr>
      </w:pPr>
      <w:r>
        <w:rPr>
          <w:rFonts w:ascii="Times New Roman" w:hAnsi="Times New Roman"/>
          <w:b/>
          <w:i/>
        </w:rPr>
        <w:t>D</w:t>
      </w:r>
      <w:r w:rsidRPr="005F024A">
        <w:rPr>
          <w:rFonts w:ascii="Times New Roman" w:hAnsi="Times New Roman"/>
          <w:b/>
          <w:i/>
        </w:rPr>
        <w:t>.1.1. Toplumsal katkı süreçlerinin yönetimi</w:t>
      </w:r>
    </w:p>
    <w:p w14:paraId="2E892319"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süreçlerinin yönetimi ve organizasyon yapısını gösteren kanıtlar </w:t>
      </w:r>
    </w:p>
    <w:p w14:paraId="5E14480D"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yönetişim modelini gösteren kanıtlar </w:t>
      </w:r>
    </w:p>
    <w:p w14:paraId="4B1D0FFC"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faaliyetlerini yürüten birimler ve uygulama örnekleri </w:t>
      </w:r>
    </w:p>
    <w:p w14:paraId="34FB1AA7"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süreçlerinin yönetimi ve organizasyonel yapısının işlerliğine ilişkin izleme ve iyileştirme kanıtları </w:t>
      </w:r>
    </w:p>
    <w:p w14:paraId="203A45EC" w14:textId="77777777" w:rsidR="001E62B5" w:rsidRPr="005F024A" w:rsidRDefault="001E62B5" w:rsidP="001E62B5">
      <w:pPr>
        <w:numPr>
          <w:ilvl w:val="0"/>
          <w:numId w:val="42"/>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76992C9F" w14:textId="77777777" w:rsidR="001E62B5" w:rsidRPr="005F024A" w:rsidRDefault="001E62B5" w:rsidP="001E62B5">
      <w:pPr>
        <w:spacing w:after="0" w:line="240" w:lineRule="auto"/>
        <w:jc w:val="both"/>
        <w:rPr>
          <w:rFonts w:ascii="Times New Roman" w:hAnsi="Times New Roman"/>
          <w:b/>
          <w:i/>
        </w:rPr>
      </w:pPr>
    </w:p>
    <w:p w14:paraId="6D51D14F" w14:textId="77777777" w:rsidR="001E62B5" w:rsidRPr="005F024A" w:rsidRDefault="001E62B5" w:rsidP="001E62B5">
      <w:pPr>
        <w:spacing w:after="0" w:line="240" w:lineRule="auto"/>
        <w:jc w:val="both"/>
        <w:rPr>
          <w:rFonts w:ascii="Times New Roman" w:hAnsi="Times New Roman"/>
          <w:b/>
          <w:i/>
          <w:color w:val="000000"/>
          <w:sz w:val="24"/>
          <w:szCs w:val="24"/>
          <w:u w:val="single"/>
        </w:rPr>
      </w:pPr>
      <w:r>
        <w:rPr>
          <w:rFonts w:ascii="Times New Roman" w:hAnsi="Times New Roman"/>
          <w:b/>
          <w:i/>
        </w:rPr>
        <w:t>D</w:t>
      </w:r>
      <w:r w:rsidRPr="005F024A">
        <w:rPr>
          <w:rFonts w:ascii="Times New Roman" w:hAnsi="Times New Roman"/>
          <w:b/>
          <w:i/>
        </w:rPr>
        <w:t>.1.2. Kaynaklar</w:t>
      </w:r>
    </w:p>
    <w:p w14:paraId="76D7C625"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faaliyetlerini yürüten araştırma ve uygulama merkezleri ve diğer birimlere ilişkin kanıtlar </w:t>
      </w:r>
    </w:p>
    <w:p w14:paraId="4ED982C9"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faaliyetlerine ayrılan bütçe ve yıllar içinde dağılımını içeren kanıtlar </w:t>
      </w:r>
    </w:p>
    <w:p w14:paraId="097B30EA"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kaynaklarının toplumsal katkı stratejisi doğrultusunda yönetildiğini gösteren kanıtlar </w:t>
      </w:r>
    </w:p>
    <w:p w14:paraId="561036F5"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 xml:space="preserve">Toplumsal katkı kaynaklarının çeşitliliği ve yeterliliğinin izlendiğine ve iyileştirildiğine ilişkin kanıtlar </w:t>
      </w:r>
    </w:p>
    <w:p w14:paraId="47192673" w14:textId="77777777" w:rsidR="001E62B5" w:rsidRPr="005F024A" w:rsidRDefault="001E62B5" w:rsidP="001E62B5">
      <w:pPr>
        <w:numPr>
          <w:ilvl w:val="0"/>
          <w:numId w:val="43"/>
        </w:numPr>
        <w:spacing w:after="0" w:line="240" w:lineRule="auto"/>
        <w:ind w:left="426" w:hanging="284"/>
        <w:jc w:val="both"/>
        <w:rPr>
          <w:rFonts w:ascii="Times New Roman" w:hAnsi="Times New Roman"/>
          <w:b/>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2AE4F4A0" w14:textId="77777777" w:rsidR="001E62B5" w:rsidRPr="005F024A" w:rsidRDefault="001E62B5" w:rsidP="001E62B5">
      <w:pPr>
        <w:spacing w:after="0" w:line="240" w:lineRule="auto"/>
        <w:jc w:val="both"/>
        <w:rPr>
          <w:rFonts w:ascii="Times New Roman" w:hAnsi="Times New Roman"/>
          <w:b/>
          <w:color w:val="000000"/>
          <w:sz w:val="24"/>
          <w:szCs w:val="24"/>
          <w:u w:val="single"/>
        </w:rPr>
      </w:pPr>
    </w:p>
    <w:p w14:paraId="2C8978B7" w14:textId="77777777" w:rsidR="001E62B5" w:rsidRDefault="001E62B5" w:rsidP="001E62B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30E8CF1C" w14:textId="77777777" w:rsidR="001E62B5" w:rsidRPr="005F024A"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6E5E3BB6" w14:textId="77777777" w:rsidR="001E62B5" w:rsidRPr="005F024A" w:rsidRDefault="001E62B5" w:rsidP="001E62B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p w14:paraId="3025AD74" w14:textId="77777777" w:rsidR="001E62B5" w:rsidRPr="005F024A" w:rsidRDefault="001E62B5" w:rsidP="001E62B5">
      <w:pPr>
        <w:spacing w:after="0" w:line="240" w:lineRule="auto"/>
        <w:jc w:val="both"/>
        <w:rPr>
          <w:rFonts w:ascii="Times New Roman" w:hAnsi="Times New Roman"/>
        </w:rPr>
      </w:pPr>
    </w:p>
    <w:p w14:paraId="307C0A31" w14:textId="77777777" w:rsidR="001E62B5" w:rsidRPr="005F024A" w:rsidRDefault="001E62B5" w:rsidP="001E62B5">
      <w:pPr>
        <w:spacing w:after="0" w:line="240" w:lineRule="auto"/>
        <w:jc w:val="both"/>
        <w:rPr>
          <w:rFonts w:ascii="Times New Roman" w:hAnsi="Times New Roman"/>
          <w:b/>
          <w:i/>
        </w:rPr>
      </w:pPr>
      <w:r>
        <w:rPr>
          <w:rFonts w:ascii="Times New Roman" w:hAnsi="Times New Roman"/>
          <w:b/>
          <w:i/>
        </w:rPr>
        <w:t>D</w:t>
      </w:r>
      <w:r w:rsidRPr="005F024A">
        <w:rPr>
          <w:rFonts w:ascii="Times New Roman" w:hAnsi="Times New Roman"/>
          <w:b/>
          <w:i/>
        </w:rPr>
        <w:t>.2.1.Toplumsal katkı performansının izlenmesi ve değerlendirilmesi</w:t>
      </w:r>
    </w:p>
    <w:p w14:paraId="219FC57B"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Kurumun hedefleriyle uyumlu toplumsal katkı faaliyetleri </w:t>
      </w:r>
    </w:p>
    <w:p w14:paraId="0967C4B2"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performansını izlemek ve değerlendirmek üzere geçerli olan tanımlı süreçlere ait kanıtlar </w:t>
      </w:r>
    </w:p>
    <w:p w14:paraId="6CF19F4D"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hedeflerine ulaşılıp ulaşılmadığını izlemek üzere oluşturulan mekanizmaları gösteren kanıtlar </w:t>
      </w:r>
    </w:p>
    <w:p w14:paraId="0C79477C"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Kurumda yürütülen toplumsal katkı faaliyetlerinin değerlendirildiğini gösteren kanıtlar/izleme raporları </w:t>
      </w:r>
    </w:p>
    <w:p w14:paraId="23B812ED"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faaliyetlerine ilişkin izlemeye dayalı iyileştirmelerin yapıldığını gösteren kanıtlar/raporlar </w:t>
      </w:r>
    </w:p>
    <w:p w14:paraId="67BACE62"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proofErr w:type="gramStart"/>
      <w:r w:rsidRPr="005F024A">
        <w:rPr>
          <w:rFonts w:ascii="Times New Roman" w:hAnsi="Times New Roman"/>
        </w:rPr>
        <w:t>İşbirliği</w:t>
      </w:r>
      <w:proofErr w:type="gramEnd"/>
      <w:r w:rsidRPr="005F024A">
        <w:rPr>
          <w:rFonts w:ascii="Times New Roman" w:hAnsi="Times New Roman"/>
        </w:rPr>
        <w:t xml:space="preserve"> yapılan kurumlarla imzalanan protokoller ve anlaşmalar </w:t>
      </w:r>
    </w:p>
    <w:p w14:paraId="048C7FF7"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Paydaş geri bildirimleri </w:t>
      </w:r>
    </w:p>
    <w:p w14:paraId="1D15CB99"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 xml:space="preserve">Toplumsal katkı performansının izlenmesine ve iyileştirilmesine ilişkin kanıtlar </w:t>
      </w:r>
    </w:p>
    <w:p w14:paraId="68306E24" w14:textId="77777777" w:rsidR="001E62B5" w:rsidRPr="005F024A" w:rsidRDefault="001E62B5" w:rsidP="001E62B5">
      <w:pPr>
        <w:numPr>
          <w:ilvl w:val="0"/>
          <w:numId w:val="44"/>
        </w:numPr>
        <w:spacing w:after="0" w:line="240" w:lineRule="auto"/>
        <w:ind w:left="426" w:hanging="284"/>
        <w:jc w:val="both"/>
        <w:rPr>
          <w:rFonts w:ascii="Times New Roman" w:hAnsi="Times New Roman"/>
          <w:b/>
          <w:i/>
          <w:color w:val="000000"/>
          <w:sz w:val="24"/>
          <w:szCs w:val="24"/>
          <w:u w:val="single"/>
        </w:rPr>
      </w:pPr>
      <w:r w:rsidRPr="005F024A">
        <w:rPr>
          <w:rFonts w:ascii="Times New Roman" w:hAnsi="Times New Roman"/>
        </w:rPr>
        <w:t>Standart uygulamalar ve mevzuatın yanı sıra kurumun ihtiyaçları doğrultusunda geliştirdiği özgün yaklaşım ve uygulamalarına ilişkin kanıtlar</w:t>
      </w:r>
    </w:p>
    <w:p w14:paraId="24FE58CF" w14:textId="77777777" w:rsidR="00F71CD9" w:rsidRDefault="00F71CD9"/>
    <w:sectPr w:rsidR="00F71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947AB7"/>
    <w:multiLevelType w:val="hybridMultilevel"/>
    <w:tmpl w:val="FD1CAB52"/>
    <w:lvl w:ilvl="0" w:tplc="08C00CE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397763C"/>
    <w:multiLevelType w:val="hybridMultilevel"/>
    <w:tmpl w:val="4D807C40"/>
    <w:lvl w:ilvl="0" w:tplc="37900B86">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 w15:restartNumberingAfterBreak="0">
    <w:nsid w:val="093A3635"/>
    <w:multiLevelType w:val="hybridMultilevel"/>
    <w:tmpl w:val="26307542"/>
    <w:lvl w:ilvl="0" w:tplc="F4A8543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0C007F89"/>
    <w:multiLevelType w:val="hybridMultilevel"/>
    <w:tmpl w:val="5D88A9AA"/>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8" w15:restartNumberingAfterBreak="0">
    <w:nsid w:val="1639485B"/>
    <w:multiLevelType w:val="hybridMultilevel"/>
    <w:tmpl w:val="1486D2C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214903"/>
    <w:multiLevelType w:val="hybridMultilevel"/>
    <w:tmpl w:val="7FEE459E"/>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C96375E"/>
    <w:multiLevelType w:val="hybridMultilevel"/>
    <w:tmpl w:val="DA404D46"/>
    <w:lvl w:ilvl="0" w:tplc="320098CC">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063724C"/>
    <w:multiLevelType w:val="hybridMultilevel"/>
    <w:tmpl w:val="B7FA9CCA"/>
    <w:lvl w:ilvl="0" w:tplc="89FAAA2C">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338B0955"/>
    <w:multiLevelType w:val="hybridMultilevel"/>
    <w:tmpl w:val="2C66CDC4"/>
    <w:lvl w:ilvl="0" w:tplc="5B46EF2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34AD7D7C"/>
    <w:multiLevelType w:val="hybridMultilevel"/>
    <w:tmpl w:val="B2420B20"/>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F90450"/>
    <w:multiLevelType w:val="hybridMultilevel"/>
    <w:tmpl w:val="570CE84E"/>
    <w:lvl w:ilvl="0" w:tplc="7E526E9A">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A13982"/>
    <w:multiLevelType w:val="hybridMultilevel"/>
    <w:tmpl w:val="A30A6432"/>
    <w:lvl w:ilvl="0" w:tplc="33EEC28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1"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81239A"/>
    <w:multiLevelType w:val="hybridMultilevel"/>
    <w:tmpl w:val="862E2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2C5C33"/>
    <w:multiLevelType w:val="hybridMultilevel"/>
    <w:tmpl w:val="0BEEED24"/>
    <w:lvl w:ilvl="0" w:tplc="4288E83E">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7" w15:restartNumberingAfterBreak="0">
    <w:nsid w:val="50D3786E"/>
    <w:multiLevelType w:val="hybridMultilevel"/>
    <w:tmpl w:val="497812EC"/>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28" w15:restartNumberingAfterBreak="0">
    <w:nsid w:val="5A455458"/>
    <w:multiLevelType w:val="hybridMultilevel"/>
    <w:tmpl w:val="42F2C8C4"/>
    <w:lvl w:ilvl="0" w:tplc="A47CD78C">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654E12"/>
    <w:multiLevelType w:val="hybridMultilevel"/>
    <w:tmpl w:val="B7A244B4"/>
    <w:lvl w:ilvl="0" w:tplc="28CA16BE">
      <w:start w:val="1"/>
      <w:numFmt w:val="decimal"/>
      <w:lvlText w:val="%1."/>
      <w:lvlJc w:val="left"/>
      <w:pPr>
        <w:ind w:left="838" w:hanging="360"/>
      </w:pPr>
      <w:rPr>
        <w:b w:val="0"/>
        <w:i w:val="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0" w15:restartNumberingAfterBreak="0">
    <w:nsid w:val="60614650"/>
    <w:multiLevelType w:val="hybridMultilevel"/>
    <w:tmpl w:val="7748A916"/>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1FA057B"/>
    <w:multiLevelType w:val="hybridMultilevel"/>
    <w:tmpl w:val="7500EA9C"/>
    <w:lvl w:ilvl="0" w:tplc="150489EE">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6ED5A9D"/>
    <w:multiLevelType w:val="hybridMultilevel"/>
    <w:tmpl w:val="8744D078"/>
    <w:lvl w:ilvl="0" w:tplc="25BE4E4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4"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15:restartNumberingAfterBreak="0">
    <w:nsid w:val="6BB71AC1"/>
    <w:multiLevelType w:val="hybridMultilevel"/>
    <w:tmpl w:val="63CC2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FC06AD5"/>
    <w:multiLevelType w:val="hybridMultilevel"/>
    <w:tmpl w:val="4D1225A0"/>
    <w:lvl w:ilvl="0" w:tplc="BD8C25D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15:restartNumberingAfterBreak="0">
    <w:nsid w:val="7170259D"/>
    <w:multiLevelType w:val="hybridMultilevel"/>
    <w:tmpl w:val="3280BE9A"/>
    <w:lvl w:ilvl="0" w:tplc="BCF0B49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15:restartNumberingAfterBreak="0">
    <w:nsid w:val="760577EF"/>
    <w:multiLevelType w:val="hybridMultilevel"/>
    <w:tmpl w:val="0A00E144"/>
    <w:lvl w:ilvl="0" w:tplc="A072A27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9" w15:restartNumberingAfterBreak="0">
    <w:nsid w:val="76990B4C"/>
    <w:multiLevelType w:val="hybridMultilevel"/>
    <w:tmpl w:val="25941912"/>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7A654618"/>
    <w:multiLevelType w:val="hybridMultilevel"/>
    <w:tmpl w:val="96E69452"/>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175B2A"/>
    <w:multiLevelType w:val="hybridMultilevel"/>
    <w:tmpl w:val="6CF46D38"/>
    <w:lvl w:ilvl="0" w:tplc="7460F1AC">
      <w:start w:val="1"/>
      <w:numFmt w:val="decimal"/>
      <w:lvlText w:val="%1."/>
      <w:lvlJc w:val="left"/>
      <w:pPr>
        <w:ind w:left="1316" w:hanging="360"/>
      </w:pPr>
      <w:rPr>
        <w:b w:val="0"/>
        <w:i w:val="0"/>
        <w:color w:val="auto"/>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43"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3222854">
    <w:abstractNumId w:val="24"/>
  </w:num>
  <w:num w:numId="2" w16cid:durableId="2059164358">
    <w:abstractNumId w:val="35"/>
  </w:num>
  <w:num w:numId="3" w16cid:durableId="1366909373">
    <w:abstractNumId w:val="29"/>
  </w:num>
  <w:num w:numId="4" w16cid:durableId="771171389">
    <w:abstractNumId w:val="20"/>
  </w:num>
  <w:num w:numId="5" w16cid:durableId="581454134">
    <w:abstractNumId w:val="7"/>
  </w:num>
  <w:num w:numId="6" w16cid:durableId="393164163">
    <w:abstractNumId w:val="18"/>
  </w:num>
  <w:num w:numId="7" w16cid:durableId="344091832">
    <w:abstractNumId w:val="26"/>
  </w:num>
  <w:num w:numId="8" w16cid:durableId="138347916">
    <w:abstractNumId w:val="15"/>
  </w:num>
  <w:num w:numId="9" w16cid:durableId="431362850">
    <w:abstractNumId w:val="38"/>
  </w:num>
  <w:num w:numId="10" w16cid:durableId="814416046">
    <w:abstractNumId w:val="19"/>
  </w:num>
  <w:num w:numId="11" w16cid:durableId="1386680400">
    <w:abstractNumId w:val="34"/>
  </w:num>
  <w:num w:numId="12" w16cid:durableId="431586465">
    <w:abstractNumId w:val="11"/>
  </w:num>
  <w:num w:numId="13" w16cid:durableId="1703088335">
    <w:abstractNumId w:val="3"/>
  </w:num>
  <w:num w:numId="14" w16cid:durableId="959339283">
    <w:abstractNumId w:val="33"/>
  </w:num>
  <w:num w:numId="15" w16cid:durableId="157960576">
    <w:abstractNumId w:val="5"/>
  </w:num>
  <w:num w:numId="16" w16cid:durableId="978345536">
    <w:abstractNumId w:val="36"/>
  </w:num>
  <w:num w:numId="17" w16cid:durableId="2116707798">
    <w:abstractNumId w:val="37"/>
  </w:num>
  <w:num w:numId="18" w16cid:durableId="1564484683">
    <w:abstractNumId w:val="1"/>
  </w:num>
  <w:num w:numId="19" w16cid:durableId="290526865">
    <w:abstractNumId w:val="16"/>
  </w:num>
  <w:num w:numId="20" w16cid:durableId="2145809395">
    <w:abstractNumId w:val="2"/>
  </w:num>
  <w:num w:numId="21" w16cid:durableId="408699628">
    <w:abstractNumId w:val="14"/>
  </w:num>
  <w:num w:numId="22" w16cid:durableId="2113089566">
    <w:abstractNumId w:val="25"/>
  </w:num>
  <w:num w:numId="23" w16cid:durableId="735325760">
    <w:abstractNumId w:val="43"/>
  </w:num>
  <w:num w:numId="24" w16cid:durableId="1026636346">
    <w:abstractNumId w:val="32"/>
  </w:num>
  <w:num w:numId="25" w16cid:durableId="2058045452">
    <w:abstractNumId w:val="0"/>
  </w:num>
  <w:num w:numId="26" w16cid:durableId="985280752">
    <w:abstractNumId w:val="23"/>
  </w:num>
  <w:num w:numId="27" w16cid:durableId="914970320">
    <w:abstractNumId w:val="40"/>
  </w:num>
  <w:num w:numId="28" w16cid:durableId="1772355757">
    <w:abstractNumId w:val="22"/>
  </w:num>
  <w:num w:numId="29" w16cid:durableId="457339002">
    <w:abstractNumId w:val="10"/>
  </w:num>
  <w:num w:numId="30" w16cid:durableId="382408277">
    <w:abstractNumId w:val="21"/>
  </w:num>
  <w:num w:numId="31" w16cid:durableId="1894997269">
    <w:abstractNumId w:val="12"/>
  </w:num>
  <w:num w:numId="32" w16cid:durableId="1206913610">
    <w:abstractNumId w:val="4"/>
  </w:num>
  <w:num w:numId="33" w16cid:durableId="106431578">
    <w:abstractNumId w:val="30"/>
  </w:num>
  <w:num w:numId="34" w16cid:durableId="333919636">
    <w:abstractNumId w:val="8"/>
  </w:num>
  <w:num w:numId="35" w16cid:durableId="706759299">
    <w:abstractNumId w:val="9"/>
  </w:num>
  <w:num w:numId="36" w16cid:durableId="1174420173">
    <w:abstractNumId w:val="27"/>
  </w:num>
  <w:num w:numId="37" w16cid:durableId="1609921416">
    <w:abstractNumId w:val="41"/>
  </w:num>
  <w:num w:numId="38" w16cid:durableId="880439032">
    <w:abstractNumId w:val="42"/>
  </w:num>
  <w:num w:numId="39" w16cid:durableId="861361711">
    <w:abstractNumId w:val="28"/>
  </w:num>
  <w:num w:numId="40" w16cid:durableId="1487629742">
    <w:abstractNumId w:val="13"/>
  </w:num>
  <w:num w:numId="41" w16cid:durableId="93674968">
    <w:abstractNumId w:val="39"/>
  </w:num>
  <w:num w:numId="42" w16cid:durableId="2067950684">
    <w:abstractNumId w:val="6"/>
  </w:num>
  <w:num w:numId="43" w16cid:durableId="1151555678">
    <w:abstractNumId w:val="17"/>
  </w:num>
  <w:num w:numId="44" w16cid:durableId="16017925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E3"/>
    <w:rsid w:val="00061C54"/>
    <w:rsid w:val="0012116B"/>
    <w:rsid w:val="001C3465"/>
    <w:rsid w:val="001E5877"/>
    <w:rsid w:val="001E62B5"/>
    <w:rsid w:val="00243BD6"/>
    <w:rsid w:val="00294035"/>
    <w:rsid w:val="002D6826"/>
    <w:rsid w:val="002F3243"/>
    <w:rsid w:val="003111B6"/>
    <w:rsid w:val="00367802"/>
    <w:rsid w:val="004374E5"/>
    <w:rsid w:val="00442603"/>
    <w:rsid w:val="004B1F4F"/>
    <w:rsid w:val="006469BC"/>
    <w:rsid w:val="007670F1"/>
    <w:rsid w:val="007A7A13"/>
    <w:rsid w:val="007C7999"/>
    <w:rsid w:val="007E2A00"/>
    <w:rsid w:val="00802F05"/>
    <w:rsid w:val="0082224B"/>
    <w:rsid w:val="00853CE5"/>
    <w:rsid w:val="008B78F8"/>
    <w:rsid w:val="00A3015F"/>
    <w:rsid w:val="00A37DA6"/>
    <w:rsid w:val="00A477EF"/>
    <w:rsid w:val="00B05109"/>
    <w:rsid w:val="00B8405C"/>
    <w:rsid w:val="00D9518D"/>
    <w:rsid w:val="00DC3077"/>
    <w:rsid w:val="00E616E3"/>
    <w:rsid w:val="00EE0290"/>
    <w:rsid w:val="00F71CD9"/>
    <w:rsid w:val="00FC0154"/>
    <w:rsid w:val="00FC458A"/>
    <w:rsid w:val="00FE1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96B1"/>
  <w15:chartTrackingRefBased/>
  <w15:docId w15:val="{57E24104-502A-4FFB-8E90-6DA59E7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42AD-974B-4A0B-A5CC-AD381838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4250</Words>
  <Characters>31115</Characters>
  <Application>Microsoft Office Word</Application>
  <DocSecurity>0</DocSecurity>
  <Lines>840</Lines>
  <Paragraphs>520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cp:lastModifiedBy>
  <cp:revision>8</cp:revision>
  <dcterms:created xsi:type="dcterms:W3CDTF">2026-01-06T21:44:00Z</dcterms:created>
  <dcterms:modified xsi:type="dcterms:W3CDTF">2026-01-08T10:25:00Z</dcterms:modified>
</cp:coreProperties>
</file>