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561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318"/>
        <w:gridCol w:w="4867"/>
      </w:tblGrid>
      <w:tr w:rsidR="00E16655" w:rsidRPr="001D4659" w:rsidTr="008B4E22">
        <w:trPr>
          <w:trHeight w:val="2113"/>
        </w:trPr>
        <w:tc>
          <w:tcPr>
            <w:tcW w:w="10451" w:type="dxa"/>
            <w:gridSpan w:val="3"/>
            <w:shd w:val="clear" w:color="auto" w:fill="auto"/>
          </w:tcPr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88E644B" wp14:editId="69AA82FC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73025</wp:posOffset>
                  </wp:positionV>
                  <wp:extent cx="1002030" cy="991235"/>
                  <wp:effectExtent l="0" t="0" r="0" b="0"/>
                  <wp:wrapNone/>
                  <wp:docPr id="1" name="Resim 1" descr="Niğde Ömer Halisdemir Üniversites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ğde Ömer Halisdemir Üniversites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  <w:p w:rsidR="008B4E22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NİĞDE ÖMER HALİSDEMİR ÜNİVERSİTESİ </w:t>
            </w:r>
          </w:p>
          <w:p w:rsidR="00E16655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İDARİ PERSONEL UNVAN DEĞİŞİKLİĞİ SINAVI DUYURUSU</w:t>
            </w:r>
          </w:p>
          <w:p w:rsidR="00E16655" w:rsidRPr="00B04B31" w:rsidRDefault="00E16655" w:rsidP="00E1665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</w:tc>
      </w:tr>
      <w:tr w:rsidR="00E16655" w:rsidRPr="001D4659" w:rsidTr="008B4E22">
        <w:trPr>
          <w:trHeight w:val="1969"/>
        </w:trPr>
        <w:tc>
          <w:tcPr>
            <w:tcW w:w="5266" w:type="dxa"/>
          </w:tcPr>
          <w:p w:rsidR="00E16655" w:rsidRPr="00E16655" w:rsidRDefault="00E16655" w:rsidP="00E16655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 w:rsidRPr="00E16655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İlan Tarihi</w:t>
            </w:r>
            <w:r w:rsidRPr="00E16655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br/>
              <w:t>Son Başvuru Tarihi</w:t>
            </w:r>
            <w:r w:rsidRPr="00E16655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br/>
              <w:t>Unvan Değişikliği Yazılı Sınav Tarihi ve Saati</w:t>
            </w:r>
            <w:r w:rsidRPr="00E16655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br/>
              <w:t>Unvan Değişikliği Yazılı Sınav Yeri</w:t>
            </w:r>
            <w:r w:rsidRPr="00E16655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br/>
            </w:r>
          </w:p>
        </w:tc>
        <w:tc>
          <w:tcPr>
            <w:tcW w:w="318" w:type="dxa"/>
          </w:tcPr>
          <w:p w:rsidR="00E16655" w:rsidRPr="00B04B31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 w:rsidRPr="00B04B31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 xml:space="preserve">:  : : : </w:t>
            </w:r>
          </w:p>
          <w:p w:rsidR="00E16655" w:rsidRPr="00B04B31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</w:tc>
        <w:tc>
          <w:tcPr>
            <w:tcW w:w="4867" w:type="dxa"/>
          </w:tcPr>
          <w:p w:rsidR="00E16655" w:rsidRPr="00B04B31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26.09.2018</w:t>
            </w:r>
          </w:p>
          <w:p w:rsidR="00E16655" w:rsidRPr="00B04B31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05.10.2018</w:t>
            </w:r>
          </w:p>
          <w:p w:rsidR="00E16655" w:rsidRPr="00B04B31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 xml:space="preserve">28.11.2018 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10:00</w:t>
            </w:r>
            <w:proofErr w:type="gramEnd"/>
          </w:p>
          <w:p w:rsidR="00E16655" w:rsidRDefault="00E16655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 xml:space="preserve">Niğde Ömer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Halisdemir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 xml:space="preserve"> Üniversitesi </w:t>
            </w:r>
          </w:p>
          <w:p w:rsidR="00E16655" w:rsidRDefault="001B52CC" w:rsidP="00E1665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>İslami İlimler</w:t>
            </w:r>
            <w:r w:rsidR="00650702"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  <w:t xml:space="preserve"> Fakültesi</w:t>
            </w:r>
          </w:p>
          <w:p w:rsidR="00E16655" w:rsidRPr="00B04B31" w:rsidRDefault="00E16655" w:rsidP="00E16655">
            <w:pPr>
              <w:spacing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4E53"/>
                <w:sz w:val="24"/>
                <w:szCs w:val="24"/>
                <w:lang w:eastAsia="tr-TR"/>
              </w:rPr>
            </w:pPr>
          </w:p>
        </w:tc>
      </w:tr>
    </w:tbl>
    <w:p w:rsidR="005E4349" w:rsidRDefault="005E4349" w:rsidP="005E4349">
      <w:pPr>
        <w:shd w:val="clear" w:color="auto" w:fill="FFFFFF"/>
        <w:spacing w:after="0" w:line="360" w:lineRule="atLeast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:rsidR="00BF5068" w:rsidRDefault="004E3A4A" w:rsidP="005E4349">
      <w:pPr>
        <w:shd w:val="clear" w:color="auto" w:fill="FFFFFF"/>
        <w:spacing w:after="0" w:line="360" w:lineRule="atLeast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hyperlink r:id="rId6" w:tgtFrame="_blank" w:history="1">
        <w:r w:rsidR="00BF5068" w:rsidRPr="001D46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tr-TR"/>
          </w:rPr>
          <w:t>“</w:t>
        </w:r>
        <w:r w:rsidR="00BF5068" w:rsidRPr="001D46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tr-TR"/>
          </w:rPr>
          <w:t>Yükseköğretim Üst Kuruluşları İle Yükseköğretim Kurumları Personeli Görevde Yükselme ve Unvan Değişikliği Yönetmeliği"</w:t>
        </w:r>
      </w:hyperlink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 kapsamında </w:t>
      </w:r>
      <w:r w:rsidR="002249B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(sınıfı, unvanı, birimi, derecesi, adedi ve nitelikleri) ilan edilen  kadrolar için </w:t>
      </w:r>
      <w:r w:rsidR="00AE3B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(Mühendis ve Tekniker</w:t>
      </w:r>
      <w:r w:rsidR="00BF5068" w:rsidRPr="001D46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r w:rsidR="00AE3B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unvan değişikliği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E3B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ınavıyla atama yapılacaktır.</w:t>
      </w:r>
    </w:p>
    <w:p w:rsidR="005E4349" w:rsidRDefault="005E4349" w:rsidP="005E4349">
      <w:pPr>
        <w:shd w:val="clear" w:color="auto" w:fill="FFFFFF"/>
        <w:spacing w:after="0" w:line="360" w:lineRule="atLeast"/>
        <w:ind w:left="-567" w:right="-567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B04B31" w:rsidRDefault="00B04B31" w:rsidP="00696D2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"/>
        <w:tblW w:w="10509" w:type="dxa"/>
        <w:jc w:val="center"/>
        <w:tblLook w:val="04A0" w:firstRow="1" w:lastRow="0" w:firstColumn="1" w:lastColumn="0" w:noHBand="0" w:noVBand="1"/>
      </w:tblPr>
      <w:tblGrid>
        <w:gridCol w:w="593"/>
        <w:gridCol w:w="711"/>
        <w:gridCol w:w="1316"/>
        <w:gridCol w:w="499"/>
        <w:gridCol w:w="1838"/>
        <w:gridCol w:w="850"/>
        <w:gridCol w:w="4702"/>
      </w:tblGrid>
      <w:tr w:rsidR="003A2384" w:rsidRPr="00B04B31" w:rsidTr="005E4349">
        <w:trPr>
          <w:trHeight w:val="674"/>
          <w:jc w:val="center"/>
        </w:trPr>
        <w:tc>
          <w:tcPr>
            <w:tcW w:w="593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711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Sınıfı</w:t>
            </w:r>
          </w:p>
        </w:tc>
        <w:tc>
          <w:tcPr>
            <w:tcW w:w="1316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499" w:type="dxa"/>
            <w:shd w:val="clear" w:color="auto" w:fill="C5E0B3" w:themeFill="accent6" w:themeFillTint="66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KD</w:t>
            </w:r>
          </w:p>
        </w:tc>
        <w:tc>
          <w:tcPr>
            <w:tcW w:w="1838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4702" w:type="dxa"/>
            <w:shd w:val="clear" w:color="auto" w:fill="C5E0B3" w:themeFill="accent6" w:themeFillTint="66"/>
            <w:vAlign w:val="center"/>
          </w:tcPr>
          <w:p w:rsidR="00B04B31" w:rsidRPr="005E4349" w:rsidRDefault="00B04B31" w:rsidP="005E4349">
            <w:pPr>
              <w:pStyle w:val="AralkYok"/>
              <w:jc w:val="center"/>
              <w:rPr>
                <w:b/>
                <w:sz w:val="24"/>
                <w:szCs w:val="24"/>
                <w:lang w:eastAsia="tr-TR"/>
              </w:rPr>
            </w:pPr>
            <w:r w:rsidRPr="005E4349">
              <w:rPr>
                <w:b/>
                <w:sz w:val="24"/>
                <w:szCs w:val="24"/>
                <w:lang w:eastAsia="tr-TR"/>
              </w:rPr>
              <w:t>Aranan Nitelikler</w:t>
            </w:r>
          </w:p>
        </w:tc>
      </w:tr>
      <w:tr w:rsidR="003A2384" w:rsidTr="005E4349">
        <w:trPr>
          <w:trHeight w:val="1363"/>
          <w:jc w:val="center"/>
        </w:trPr>
        <w:tc>
          <w:tcPr>
            <w:tcW w:w="593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11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1316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MÜHENDİS</w:t>
            </w:r>
          </w:p>
        </w:tc>
        <w:tc>
          <w:tcPr>
            <w:tcW w:w="499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8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Yapı İşleri ve Teknik Daire Başkanlığı</w:t>
            </w:r>
          </w:p>
        </w:tc>
        <w:tc>
          <w:tcPr>
            <w:tcW w:w="850" w:type="dxa"/>
            <w:vAlign w:val="center"/>
          </w:tcPr>
          <w:p w:rsidR="00B04B31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02" w:type="dxa"/>
            <w:vAlign w:val="center"/>
          </w:tcPr>
          <w:p w:rsidR="003A2384" w:rsidRPr="005E4349" w:rsidRDefault="00A8462C" w:rsidP="005E4349">
            <w:pPr>
              <w:pStyle w:val="AralkYok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 xml:space="preserve">Fakültelerin </w:t>
            </w:r>
            <w:r w:rsidR="00AC7F2D" w:rsidRPr="005E4349">
              <w:rPr>
                <w:sz w:val="24"/>
                <w:szCs w:val="24"/>
                <w:lang w:eastAsia="tr-TR"/>
              </w:rPr>
              <w:t xml:space="preserve">Elektrik </w:t>
            </w:r>
            <w:r w:rsidR="003A2384" w:rsidRPr="005E4349">
              <w:rPr>
                <w:sz w:val="24"/>
                <w:szCs w:val="24"/>
                <w:lang w:eastAsia="tr-TR"/>
              </w:rPr>
              <w:t>veya Elektrik-Elektronik Mühendisliği bölümü lisans mezunu olmak.</w:t>
            </w:r>
          </w:p>
        </w:tc>
      </w:tr>
      <w:tr w:rsidR="003A2384" w:rsidTr="005E4349">
        <w:trPr>
          <w:trHeight w:val="1141"/>
          <w:jc w:val="center"/>
        </w:trPr>
        <w:tc>
          <w:tcPr>
            <w:tcW w:w="593" w:type="dxa"/>
            <w:vAlign w:val="center"/>
          </w:tcPr>
          <w:p w:rsidR="003A2384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11" w:type="dxa"/>
            <w:vAlign w:val="center"/>
          </w:tcPr>
          <w:p w:rsidR="003A2384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1316" w:type="dxa"/>
            <w:vAlign w:val="center"/>
          </w:tcPr>
          <w:p w:rsidR="003A2384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TEKNİKER</w:t>
            </w:r>
          </w:p>
        </w:tc>
        <w:tc>
          <w:tcPr>
            <w:tcW w:w="499" w:type="dxa"/>
            <w:vAlign w:val="center"/>
          </w:tcPr>
          <w:p w:rsidR="003A2384" w:rsidRPr="005E4349" w:rsidRDefault="00A8462C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38" w:type="dxa"/>
            <w:vAlign w:val="center"/>
          </w:tcPr>
          <w:p w:rsidR="003A2384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Yapı İşleri ve Teknik Daire Başkanlığı</w:t>
            </w:r>
          </w:p>
        </w:tc>
        <w:tc>
          <w:tcPr>
            <w:tcW w:w="850" w:type="dxa"/>
            <w:vAlign w:val="center"/>
          </w:tcPr>
          <w:p w:rsidR="003A2384" w:rsidRPr="005E4349" w:rsidRDefault="003A2384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02" w:type="dxa"/>
            <w:vAlign w:val="center"/>
          </w:tcPr>
          <w:p w:rsidR="003A2384" w:rsidRPr="005E4349" w:rsidRDefault="00F034C1" w:rsidP="005E4349">
            <w:pPr>
              <w:pStyle w:val="AralkYok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 xml:space="preserve">Meslek Yüksekokullarının </w:t>
            </w:r>
            <w:r w:rsidR="00A57F75" w:rsidRPr="005E4349">
              <w:rPr>
                <w:sz w:val="24"/>
                <w:szCs w:val="24"/>
                <w:lang w:eastAsia="tr-TR"/>
              </w:rPr>
              <w:t>Elektrik</w:t>
            </w:r>
            <w:r w:rsidRPr="005E4349">
              <w:rPr>
                <w:sz w:val="24"/>
                <w:szCs w:val="24"/>
                <w:lang w:eastAsia="tr-TR"/>
              </w:rPr>
              <w:t xml:space="preserve"> </w:t>
            </w:r>
            <w:r w:rsidR="00AC7F2D" w:rsidRPr="005E4349">
              <w:rPr>
                <w:sz w:val="24"/>
                <w:szCs w:val="24"/>
                <w:lang w:eastAsia="tr-TR"/>
              </w:rPr>
              <w:t>programından</w:t>
            </w:r>
            <w:r w:rsidRPr="005E4349">
              <w:rPr>
                <w:sz w:val="24"/>
                <w:szCs w:val="24"/>
                <w:lang w:eastAsia="tr-TR"/>
              </w:rPr>
              <w:t xml:space="preserve"> </w:t>
            </w:r>
            <w:r w:rsidR="00C85505" w:rsidRPr="005E4349">
              <w:rPr>
                <w:sz w:val="24"/>
                <w:szCs w:val="24"/>
                <w:lang w:eastAsia="tr-TR"/>
              </w:rPr>
              <w:t>mezun</w:t>
            </w:r>
            <w:r w:rsidRPr="005E4349">
              <w:rPr>
                <w:sz w:val="24"/>
                <w:szCs w:val="24"/>
                <w:lang w:eastAsia="tr-TR"/>
              </w:rPr>
              <w:t xml:space="preserve"> olmak.</w:t>
            </w:r>
          </w:p>
        </w:tc>
      </w:tr>
      <w:tr w:rsidR="00A57F75" w:rsidTr="005E4349">
        <w:trPr>
          <w:trHeight w:val="1115"/>
          <w:jc w:val="center"/>
        </w:trPr>
        <w:tc>
          <w:tcPr>
            <w:tcW w:w="593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11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1316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TEKNİKER</w:t>
            </w:r>
          </w:p>
        </w:tc>
        <w:tc>
          <w:tcPr>
            <w:tcW w:w="499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38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Yapı İşleri ve Teknik Daire Başkanlığı</w:t>
            </w:r>
          </w:p>
        </w:tc>
        <w:tc>
          <w:tcPr>
            <w:tcW w:w="850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02" w:type="dxa"/>
            <w:vAlign w:val="center"/>
          </w:tcPr>
          <w:p w:rsidR="00A57F75" w:rsidRPr="005E4349" w:rsidRDefault="00A57F75" w:rsidP="005E4349">
            <w:pPr>
              <w:pStyle w:val="AralkYok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Meslek Yüksekokullarının Elektronik Teknolojisi</w:t>
            </w:r>
            <w:r w:rsidR="00AC7F2D" w:rsidRPr="005E4349">
              <w:rPr>
                <w:sz w:val="24"/>
                <w:szCs w:val="24"/>
                <w:lang w:eastAsia="tr-TR"/>
              </w:rPr>
              <w:t xml:space="preserve"> veya</w:t>
            </w:r>
            <w:r w:rsidRPr="005E4349">
              <w:rPr>
                <w:sz w:val="24"/>
                <w:szCs w:val="24"/>
                <w:lang w:eastAsia="tr-TR"/>
              </w:rPr>
              <w:t xml:space="preserve"> </w:t>
            </w:r>
            <w:r w:rsidR="001B52CC">
              <w:rPr>
                <w:sz w:val="24"/>
                <w:szCs w:val="24"/>
                <w:lang w:eastAsia="tr-TR"/>
              </w:rPr>
              <w:t>Elektrik-</w:t>
            </w:r>
            <w:r w:rsidR="00AC7F2D" w:rsidRPr="005E4349">
              <w:rPr>
                <w:sz w:val="24"/>
                <w:szCs w:val="24"/>
                <w:lang w:eastAsia="tr-TR"/>
              </w:rPr>
              <w:t xml:space="preserve">Elektronik Teknolojisi </w:t>
            </w:r>
            <w:r w:rsidRPr="005E4349">
              <w:rPr>
                <w:sz w:val="24"/>
                <w:szCs w:val="24"/>
                <w:lang w:eastAsia="tr-TR"/>
              </w:rPr>
              <w:t>programlarının birinden mezun olmak.</w:t>
            </w:r>
          </w:p>
        </w:tc>
      </w:tr>
      <w:tr w:rsidR="00A57F75" w:rsidTr="005E4349">
        <w:trPr>
          <w:trHeight w:val="1259"/>
          <w:jc w:val="center"/>
        </w:trPr>
        <w:tc>
          <w:tcPr>
            <w:tcW w:w="593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11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1316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TEKNİKER</w:t>
            </w:r>
          </w:p>
        </w:tc>
        <w:tc>
          <w:tcPr>
            <w:tcW w:w="499" w:type="dxa"/>
            <w:vAlign w:val="center"/>
          </w:tcPr>
          <w:p w:rsidR="00A57F75" w:rsidRPr="005E4349" w:rsidRDefault="001B52CC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8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Yapı İşleri ve Teknik Daire Başkanlığı</w:t>
            </w:r>
          </w:p>
        </w:tc>
        <w:tc>
          <w:tcPr>
            <w:tcW w:w="850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02" w:type="dxa"/>
            <w:vAlign w:val="center"/>
          </w:tcPr>
          <w:p w:rsidR="00A57F75" w:rsidRPr="005E4349" w:rsidRDefault="00A57F75" w:rsidP="005E4349">
            <w:pPr>
              <w:pStyle w:val="AralkYok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Meslek Yüksekokullarının Makine programından mezun olmak.</w:t>
            </w:r>
          </w:p>
        </w:tc>
      </w:tr>
      <w:tr w:rsidR="00A57F75" w:rsidTr="005E4349">
        <w:trPr>
          <w:trHeight w:val="993"/>
          <w:jc w:val="center"/>
        </w:trPr>
        <w:tc>
          <w:tcPr>
            <w:tcW w:w="593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11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TH</w:t>
            </w:r>
          </w:p>
        </w:tc>
        <w:tc>
          <w:tcPr>
            <w:tcW w:w="1316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TEKNİKER</w:t>
            </w:r>
          </w:p>
        </w:tc>
        <w:tc>
          <w:tcPr>
            <w:tcW w:w="499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38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Yapı İşleri ve Teknik Daire Başkanlığı</w:t>
            </w:r>
          </w:p>
        </w:tc>
        <w:tc>
          <w:tcPr>
            <w:tcW w:w="850" w:type="dxa"/>
            <w:vAlign w:val="center"/>
          </w:tcPr>
          <w:p w:rsidR="00A57F75" w:rsidRPr="005E4349" w:rsidRDefault="00A57F75" w:rsidP="005E4349">
            <w:pPr>
              <w:pStyle w:val="AralkYok"/>
              <w:jc w:val="center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02" w:type="dxa"/>
            <w:vAlign w:val="center"/>
          </w:tcPr>
          <w:p w:rsidR="00A57F75" w:rsidRPr="005E4349" w:rsidRDefault="00A57F75" w:rsidP="005E4349">
            <w:pPr>
              <w:pStyle w:val="AralkYok"/>
              <w:rPr>
                <w:sz w:val="24"/>
                <w:szCs w:val="24"/>
                <w:lang w:eastAsia="tr-TR"/>
              </w:rPr>
            </w:pPr>
            <w:r w:rsidRPr="005E4349">
              <w:rPr>
                <w:sz w:val="24"/>
                <w:szCs w:val="24"/>
                <w:lang w:eastAsia="tr-TR"/>
              </w:rPr>
              <w:t>Meslek Yüksekokullarının İnşaat, İnşaat Teknikerliği veya İnşaat Teknolojisi programlarının birinden mezun olmak.</w:t>
            </w:r>
          </w:p>
        </w:tc>
      </w:tr>
    </w:tbl>
    <w:p w:rsidR="00BF5068" w:rsidRPr="001107C2" w:rsidRDefault="00C663B0" w:rsidP="002249B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UNVAN DEĞİŞİKLİĞİ SINAVI</w:t>
      </w:r>
      <w:r w:rsidR="001107C2" w:rsidRPr="001107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SURETİYLE ATANACAKLARDA ARANACAK GENEL ŞARTLAR:</w:t>
      </w:r>
    </w:p>
    <w:p w:rsidR="00BF5068" w:rsidRPr="001107C2" w:rsidRDefault="00BF5068" w:rsidP="0051734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Yükseköğretim Üst Kuruluşları İle Yükseköğretim Kurumları Personeli Görevde Yükselme ve Unvan Değişikliği Yönetmeliğinde belirtilen kadrolara </w:t>
      </w:r>
      <w:r w:rsidR="007F65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Unvan Değişikliği sınavı ile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atanabilmek için;</w:t>
      </w:r>
    </w:p>
    <w:p w:rsidR="00BF5068" w:rsidRPr="00237E4E" w:rsidRDefault="00AF69D0" w:rsidP="001107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a) </w:t>
      </w:r>
      <w:r w:rsidRPr="00AF69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.- 2.- 3. ve 4. dereceli kadrolara atanabilmek için</w:t>
      </w:r>
      <w:hyperlink r:id="rId7" w:history="1">
        <w:r w:rsidR="00BF5068" w:rsidRPr="001107C2">
          <w:rPr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 657 sayılı Devlet Memurları Kanununun 68 inci maddesinin (B) bendi</w:t>
        </w:r>
      </w:hyperlink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nde belirtilen hizmet şa</w:t>
      </w:r>
      <w:r w:rsidR="00950FB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rtlarını taşımak gerekmektedir.</w:t>
      </w:r>
    </w:p>
    <w:p w:rsidR="00BF5068" w:rsidRPr="001107C2" w:rsidRDefault="007F659E" w:rsidP="00BF50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</w:t>
      </w:r>
      <w:r w:rsidR="00BF5068" w:rsidRPr="001107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Unvan değişikliği</w:t>
      </w:r>
      <w:r w:rsidR="00DC766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sınavında başarılı olmak.</w:t>
      </w:r>
    </w:p>
    <w:p w:rsidR="00FB4DA4" w:rsidRPr="001107C2" w:rsidRDefault="00FB4DA4" w:rsidP="00BF506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c) İlan edilen unvana iliş</w:t>
      </w:r>
      <w:r w:rsidR="0065070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kin söz konusu yönetmeliğin 9. M</w:t>
      </w:r>
      <w:r w:rsidR="00B437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addesi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uyarınca aranan mezuniyet şartını </w:t>
      </w:r>
      <w:r w:rsidR="00A45F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sağlamak.</w:t>
      </w:r>
    </w:p>
    <w:p w:rsidR="00FB4DA4" w:rsidRDefault="00FB4DA4" w:rsidP="00BF50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F5068" w:rsidRDefault="00BF5068" w:rsidP="00BF50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107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</w:t>
      </w:r>
    </w:p>
    <w:p w:rsidR="00B32374" w:rsidRDefault="00B32374" w:rsidP="00B323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Aylıksız izinde bulunanlar dâhil olmak üzere, ilgili mevzuatı uyarınca verilen izinleri kullanmakta olanların da başvuruda bulunarak sınava katılmaları mümkündür.</w:t>
      </w:r>
    </w:p>
    <w:p w:rsidR="00B32374" w:rsidRDefault="00B32374" w:rsidP="00B323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-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İlan edilen kadrolara diğer kurumların personeli ve aday memur statüsünde bulunanlar başvuruda bulunama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zlar. </w:t>
      </w: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İlan edilen kadrolar için belirlenen başvuru tarihinin son günü itibariyle (</w:t>
      </w:r>
      <w:r w:rsidR="006914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05.10.2018) aranan nitelikler ile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başvuru yapılacak kadroya ait genel ve özel şartların birlikte sağlanıyor olması gerekmektedir.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</w:p>
    <w:p w:rsidR="00BF5068" w:rsidRPr="001107C2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İlan edilen kadrolar için belirlenen başvuru tarihinin son günü itibarıyla aranan nitelikleri taşıyan personel, başvuru şartlarını taşıdığı farklı unvanlı kadrolardan </w:t>
      </w:r>
      <w:r w:rsidR="00BF5068" w:rsidRPr="001107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sadece biri için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duyuruda belirtilen şekilde başvuruda bulunabilir.</w:t>
      </w:r>
      <w:r w:rsidR="004D236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BF5068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- </w:t>
      </w:r>
      <w:r w:rsidR="007F65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Unvan </w:t>
      </w:r>
      <w:r w:rsidR="00B70FB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değişikliği</w:t>
      </w:r>
      <w:r w:rsidR="00B70FB0" w:rsidRPr="001107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sınavına katılmak isteyen personel</w:t>
      </w:r>
      <w:r w:rsidR="00B70FB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lerin</w:t>
      </w:r>
      <w:r w:rsidR="00BF5068" w:rsidRPr="001107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; </w:t>
      </w:r>
      <w:r w:rsidR="007F65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Unvan Değişikliği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Sınavı Başvuru Formunu doldurup kapalı zarf içerisinde ve </w:t>
      </w:r>
      <w:r w:rsidR="00782C4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Unvan Değişikliği Sınavı Başvuru D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ilekçe</w:t>
      </w:r>
      <w:r w:rsidR="00782C4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ekinde Üniversitemiz </w:t>
      </w:r>
      <w:r w:rsidR="001107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Personel Daire Başkanlığına </w:t>
      </w:r>
      <w:r w:rsidR="00BF5068" w:rsidRPr="00237E4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tesli</w:t>
      </w:r>
      <w:r w:rsidR="007F65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 etmeleri gerekmektedir.</w:t>
      </w: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Aranan şartları taşıyan ve taşımayan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personel listesi yapılan başvuruların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incelenmesi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s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onrasında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Üniversitemiz web sayfasında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(</w:t>
      </w:r>
      <w:hyperlink r:id="rId8" w:history="1">
        <w:r w:rsidR="00782C4F" w:rsidRPr="003E690D">
          <w:rPr>
            <w:rStyle w:val="Kpr"/>
            <w:bCs/>
            <w:lang w:eastAsia="tr-TR"/>
          </w:rPr>
          <w:t>http://www.ohu.edu.edu.tr</w:t>
        </w:r>
      </w:hyperlink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yayınlanacaktır.</w:t>
      </w:r>
    </w:p>
    <w:p w:rsidR="00517343" w:rsidRDefault="00517343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5173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Unvan Değişikliği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Sınavı ilgili Yönetmelik uyarınca yazılı ve sözlü olarak iki aşamada yapılacaktır.</w:t>
      </w:r>
    </w:p>
    <w:p w:rsidR="00B32374" w:rsidRDefault="00B3237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B4DA4" w:rsidRDefault="00FB4DA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B4DA4" w:rsidRDefault="00FB4DA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B4DA4" w:rsidRDefault="00FB4DA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B4DA4" w:rsidRDefault="00FB4DA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32374" w:rsidRDefault="00B32374" w:rsidP="001107C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YAZILI SINAV KONU BAŞLIKLARI</w:t>
      </w:r>
    </w:p>
    <w:p w:rsidR="00B32374" w:rsidRPr="001107C2" w:rsidRDefault="00B32374" w:rsidP="004E3A4A">
      <w:pPr>
        <w:pStyle w:val="AralkYok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="004E3A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İ</w:t>
      </w:r>
      <w:r w:rsidR="004E3A4A">
        <w:rPr>
          <w:rFonts w:ascii="Times New Roman" w:hAnsi="Times New Roman" w:cs="Times New Roman"/>
          <w:sz w:val="24"/>
          <w:szCs w:val="24"/>
        </w:rPr>
        <w:t xml:space="preserve">lan edilen kadronun görev alanları ve görevin niteliğine ilişkin </w:t>
      </w:r>
      <w:r w:rsidR="004E3A4A">
        <w:rPr>
          <w:rFonts w:ascii="Times New Roman" w:hAnsi="Times New Roman" w:cs="Times New Roman"/>
          <w:sz w:val="24"/>
          <w:szCs w:val="24"/>
        </w:rPr>
        <w:t>konulardan y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apılacak</w:t>
      </w:r>
      <w:r w:rsidR="004E3A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olan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yazılı sınavda 100 üzerinden en az 60 (altmış)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puan alan personel başarılı sayılacaktır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.</w:t>
      </w:r>
    </w:p>
    <w:p w:rsidR="008B4E22" w:rsidRDefault="008B4E22" w:rsidP="00517C7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32374" w:rsidRDefault="00B32374" w:rsidP="0075447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SÖZLÜ SINAV</w:t>
      </w: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B32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Yazılı sınavda en yüksek puan alan adaydan başlamak üzere ilan edilen kadro sayısının 5 (beş) katına kadar aday sözlü sınava alınır. </w:t>
      </w: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B32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Son adayla aynı puana sahip olan personelin tamamı sözlü sınava alınır. </w:t>
      </w:r>
    </w:p>
    <w:p w:rsidR="00CC52FE" w:rsidRDefault="00CC52FE" w:rsidP="00CC52F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- Sözlü sınav;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a) Sınav konularına ilişkin bilgi düzeyi,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b) Bir konuyu kavrayıp özetleme, ifade yeteneği ve muhakeme gücü,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c) Liyakati, temsil kabiliyeti, tutum ve davranışlarının göreve uygunluğu,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ç) Özgüveni, ikna kabiliyeti ve inandırıcılığı,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d) Genel kültürü ve genel yeteneği,</w:t>
      </w:r>
    </w:p>
    <w:p w:rsid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e) Bilimsel ve teknolojik gelişmelere açıklığı,</w:t>
      </w:r>
    </w:p>
    <w:p w:rsidR="00B32374" w:rsidRDefault="00CC52FE" w:rsidP="00CC52FE">
      <w:pPr>
        <w:pStyle w:val="AralkYok"/>
        <w:ind w:firstLine="708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proofErr w:type="gramStart"/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esas</w:t>
      </w:r>
      <w:proofErr w:type="gramEnd"/>
      <w:r w:rsidRPr="00CC52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alınarak yüz tam puan üzerinden değerlendirilir.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</w:t>
      </w:r>
      <w:r w:rsidR="00B32374" w:rsidRPr="00B32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er üyenin vermiş olduğu sözlü puanlarının aritmetik ortalaması alınarak personelin s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özlü sınav puanı tespit edilir.</w:t>
      </w:r>
    </w:p>
    <w:p w:rsidR="00CC52FE" w:rsidRPr="00CC52FE" w:rsidRDefault="00CC52FE" w:rsidP="00CC52FE">
      <w:pPr>
        <w:pStyle w:val="AralkYok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B32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Sözlü sınavda 100 (yüz) üzerinden en az 70 (yetmiş) puan alanlar başarılı sayılırlar.</w:t>
      </w: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B32374" w:rsidRDefault="00B32374" w:rsidP="00B323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B323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BAŞARI PUANI VE ATAMA</w:t>
      </w:r>
    </w:p>
    <w:p w:rsidR="00B32374" w:rsidRPr="0059366F" w:rsidRDefault="00B32374" w:rsidP="00B323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- Unvan değişikliği sınav puanı;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yazılı ve sözlü sınav pu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anlarının aritmetik ortalaması 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alınarak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hesaplanır, 100 (yüz) üzerinden en az 70 (yetmiş) puan alanlar başarılı sayılır ve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en yüksek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puandan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aşlanarak yerleştirme yapıl</w:t>
      </w:r>
      <w:r w:rsidRPr="005936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ır. Başarı puanlarının eşit olması halinde sırasıyla,</w:t>
      </w:r>
    </w:p>
    <w:p w:rsidR="00B32374" w:rsidRPr="0059366F" w:rsidRDefault="00B32374" w:rsidP="00B3237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a) Hizmet süresi fazla olanlara,</w:t>
      </w:r>
    </w:p>
    <w:p w:rsidR="00B32374" w:rsidRPr="00237E4E" w:rsidRDefault="00B32374" w:rsidP="00B3237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b) Daha üst öğrenimi bitirmiş olanlara,</w:t>
      </w:r>
    </w:p>
    <w:p w:rsidR="00B32374" w:rsidRDefault="00B32374" w:rsidP="00B3237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c) Üst öğrenim mezuniyet notu yüksek olanlara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,</w:t>
      </w:r>
    </w:p>
    <w:p w:rsidR="00B32374" w:rsidRPr="0059366F" w:rsidRDefault="00B32374" w:rsidP="00CC52FE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ö</w:t>
      </w:r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ncelik</w:t>
      </w:r>
      <w:proofErr w:type="gramEnd"/>
      <w:r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verilmek suretiyle, en yüksek puandan başlamak üzere başarı sıralaması belirlenir.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İlan edilen kadro sayısı nedeniyle ataması yapılmayacak personelden en fazla asıl aday sayısı kadar personel, başarı sıralaması listesinde yedek olarak belirlenir.</w:t>
      </w:r>
    </w:p>
    <w:p w:rsidR="009A5780" w:rsidRPr="009A5780" w:rsidRDefault="009A5780" w:rsidP="009A57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Pr="009A57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Atama işlemi mevzuatta belirtilen süre içerisinde Rektörlük tarafından yapılır.</w:t>
      </w:r>
    </w:p>
    <w:p w:rsidR="00B32374" w:rsidRPr="0059366F" w:rsidRDefault="009A5780" w:rsidP="00517343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- </w:t>
      </w:r>
      <w:r w:rsidR="00B32374"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Gerekli şartları taşımadığı daha sonra </w:t>
      </w:r>
      <w:r w:rsidR="00B32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tespit edilenlerin</w:t>
      </w:r>
      <w:r w:rsidR="00B32374"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sınavları geçersiz sayılarak atamaları yapılmaz, yapılmış olanların atamaları iptal edilir.</w:t>
      </w:r>
      <w:r w:rsidR="00B32374" w:rsidRPr="00237E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br/>
      </w:r>
    </w:p>
    <w:p w:rsidR="00B32374" w:rsidRPr="00B32374" w:rsidRDefault="00E16655" w:rsidP="00B323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E1665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A57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Sözlü sınav tarihi ve yeri yazılı sınav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onuçları ile birlikte açıklanacaktır.</w:t>
      </w:r>
    </w:p>
    <w:sectPr w:rsidR="00B32374" w:rsidRPr="00B32374" w:rsidSect="005E4349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9F9"/>
    <w:multiLevelType w:val="hybridMultilevel"/>
    <w:tmpl w:val="5B74E18E"/>
    <w:lvl w:ilvl="0" w:tplc="68C27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ECE"/>
    <w:multiLevelType w:val="hybridMultilevel"/>
    <w:tmpl w:val="338CCE74"/>
    <w:lvl w:ilvl="0" w:tplc="77987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5DB1"/>
    <w:multiLevelType w:val="hybridMultilevel"/>
    <w:tmpl w:val="DBFAA1B4"/>
    <w:lvl w:ilvl="0" w:tplc="D6E471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1D8A"/>
    <w:multiLevelType w:val="multilevel"/>
    <w:tmpl w:val="F912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55781"/>
    <w:multiLevelType w:val="multilevel"/>
    <w:tmpl w:val="720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50EA7"/>
    <w:multiLevelType w:val="multilevel"/>
    <w:tmpl w:val="A85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A5674"/>
    <w:multiLevelType w:val="multilevel"/>
    <w:tmpl w:val="ADA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033F7"/>
    <w:multiLevelType w:val="hybridMultilevel"/>
    <w:tmpl w:val="CFA6CD9E"/>
    <w:lvl w:ilvl="0" w:tplc="2138D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5721"/>
    <w:multiLevelType w:val="hybridMultilevel"/>
    <w:tmpl w:val="338CCE74"/>
    <w:lvl w:ilvl="0" w:tplc="77987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10F20"/>
    <w:multiLevelType w:val="hybridMultilevel"/>
    <w:tmpl w:val="E784540A"/>
    <w:lvl w:ilvl="0" w:tplc="4DD0AB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26A7"/>
    <w:multiLevelType w:val="hybridMultilevel"/>
    <w:tmpl w:val="3BB4F110"/>
    <w:lvl w:ilvl="0" w:tplc="E61C6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0FA8"/>
    <w:multiLevelType w:val="hybridMultilevel"/>
    <w:tmpl w:val="338CCE74"/>
    <w:lvl w:ilvl="0" w:tplc="77987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E"/>
    <w:rsid w:val="000345B2"/>
    <w:rsid w:val="001107C2"/>
    <w:rsid w:val="0012777C"/>
    <w:rsid w:val="001A4EBE"/>
    <w:rsid w:val="001B52CC"/>
    <w:rsid w:val="002249BF"/>
    <w:rsid w:val="002932F9"/>
    <w:rsid w:val="002A1441"/>
    <w:rsid w:val="002D77D1"/>
    <w:rsid w:val="0035272D"/>
    <w:rsid w:val="003A2384"/>
    <w:rsid w:val="003A5FFC"/>
    <w:rsid w:val="004851B8"/>
    <w:rsid w:val="004D236C"/>
    <w:rsid w:val="004E3A4A"/>
    <w:rsid w:val="00517343"/>
    <w:rsid w:val="00517C72"/>
    <w:rsid w:val="0059366F"/>
    <w:rsid w:val="005E4349"/>
    <w:rsid w:val="005F20BE"/>
    <w:rsid w:val="00650702"/>
    <w:rsid w:val="006914CE"/>
    <w:rsid w:val="00696D28"/>
    <w:rsid w:val="006D0784"/>
    <w:rsid w:val="00703A65"/>
    <w:rsid w:val="0075447E"/>
    <w:rsid w:val="00782C4F"/>
    <w:rsid w:val="007A04B3"/>
    <w:rsid w:val="007C1518"/>
    <w:rsid w:val="007E03A1"/>
    <w:rsid w:val="007F659E"/>
    <w:rsid w:val="00802459"/>
    <w:rsid w:val="008235B9"/>
    <w:rsid w:val="00881BB0"/>
    <w:rsid w:val="008A2B0F"/>
    <w:rsid w:val="008B4E22"/>
    <w:rsid w:val="00950FB4"/>
    <w:rsid w:val="009A5780"/>
    <w:rsid w:val="00A45F5B"/>
    <w:rsid w:val="00A57F75"/>
    <w:rsid w:val="00A8462C"/>
    <w:rsid w:val="00AC7F2D"/>
    <w:rsid w:val="00AE3B93"/>
    <w:rsid w:val="00AF69D0"/>
    <w:rsid w:val="00B04B31"/>
    <w:rsid w:val="00B32374"/>
    <w:rsid w:val="00B4374C"/>
    <w:rsid w:val="00B70FB0"/>
    <w:rsid w:val="00BF5068"/>
    <w:rsid w:val="00C663B0"/>
    <w:rsid w:val="00C85505"/>
    <w:rsid w:val="00C90C4F"/>
    <w:rsid w:val="00CC52FE"/>
    <w:rsid w:val="00D16EE9"/>
    <w:rsid w:val="00D53949"/>
    <w:rsid w:val="00D677F8"/>
    <w:rsid w:val="00DC6B05"/>
    <w:rsid w:val="00DC766F"/>
    <w:rsid w:val="00DF1B77"/>
    <w:rsid w:val="00E16655"/>
    <w:rsid w:val="00E403B2"/>
    <w:rsid w:val="00E56010"/>
    <w:rsid w:val="00F034C1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EDAD-4ED4-493E-9E48-07B175C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F506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5068"/>
    <w:pPr>
      <w:ind w:left="720"/>
      <w:contextualSpacing/>
    </w:pPr>
  </w:style>
  <w:style w:type="paragraph" w:styleId="AralkYok">
    <w:name w:val="No Spacing"/>
    <w:uiPriority w:val="1"/>
    <w:qFormat/>
    <w:rsid w:val="0075447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u.ed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u.edu.tr/sites/default/files/files/657%20MADDE%2068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imler.omu.edu.tr/files/bidb/files/Y%C3%BCksek%C3%B6%C4%9Fretim-%C3%9Cst-Kurulu%C5%9Flar%C4%B1-%C4%B0le-Y%C3%BCksek%C3%B6%C4%9Fretim-Kurumlar%C4%B1-Personeli-G%C3%B6revde-Y%C3%BCkselme-ve-Unvan-De%C4%9Fi%C5%9Fikli%C4%9Fi-Y%C3%B6netmeli%C4%9Fi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38</cp:revision>
  <cp:lastPrinted>2018-09-26T08:48:00Z</cp:lastPrinted>
  <dcterms:created xsi:type="dcterms:W3CDTF">2016-07-13T12:12:00Z</dcterms:created>
  <dcterms:modified xsi:type="dcterms:W3CDTF">2018-09-26T13:26:00Z</dcterms:modified>
</cp:coreProperties>
</file>