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D4A25" w:rsidRDefault="00C41B77">
      <w:pPr>
        <w:spacing w:after="0" w:line="36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General Information </w:t>
      </w:r>
    </w:p>
    <w:p w14:paraId="00000002" w14:textId="77777777" w:rsidR="002D4A25" w:rsidRDefault="002D4A25">
      <w:pPr>
        <w:spacing w:after="0" w:line="240" w:lineRule="auto"/>
        <w:jc w:val="both"/>
        <w:rPr>
          <w:rFonts w:ascii="Times New Roman" w:eastAsia="Times New Roman" w:hAnsi="Times New Roman" w:cs="Times New Roman"/>
          <w:sz w:val="20"/>
          <w:szCs w:val="20"/>
        </w:rPr>
      </w:pPr>
    </w:p>
    <w:p w14:paraId="5F6CAB21" w14:textId="520BB1D4" w:rsidR="00ED59D6" w:rsidRPr="00ED59D6" w:rsidRDefault="00ED59D6" w:rsidP="00ED59D6">
      <w:pPr>
        <w:spacing w:after="0" w:line="360" w:lineRule="auto"/>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xml:space="preserve">In our department, there are 2 associate professors and </w:t>
      </w:r>
      <w:r w:rsidR="0068345E">
        <w:rPr>
          <w:rFonts w:ascii="Times New Roman" w:eastAsia="Times New Roman" w:hAnsi="Times New Roman" w:cs="Times New Roman"/>
          <w:sz w:val="20"/>
          <w:szCs w:val="20"/>
        </w:rPr>
        <w:t>2</w:t>
      </w:r>
      <w:r w:rsidRPr="00ED59D6">
        <w:rPr>
          <w:rFonts w:ascii="Times New Roman" w:eastAsia="Times New Roman" w:hAnsi="Times New Roman" w:cs="Times New Roman"/>
          <w:sz w:val="20"/>
          <w:szCs w:val="20"/>
        </w:rPr>
        <w:t xml:space="preserve"> doctoral faculty member.</w:t>
      </w:r>
    </w:p>
    <w:p w14:paraId="72B7BC5B" w14:textId="65D64FA8" w:rsidR="00ED59D6" w:rsidRDefault="00ED59D6" w:rsidP="00ED59D6">
      <w:pPr>
        <w:spacing w:after="0" w:line="360" w:lineRule="auto"/>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Thanks to the graduate program, students improve their ability to participate in scientific activities and share their results</w:t>
      </w:r>
      <w:r>
        <w:rPr>
          <w:rFonts w:ascii="Times New Roman" w:eastAsia="Times New Roman" w:hAnsi="Times New Roman" w:cs="Times New Roman"/>
          <w:sz w:val="20"/>
          <w:szCs w:val="20"/>
        </w:rPr>
        <w:t xml:space="preserve"> with the scientific community. </w:t>
      </w:r>
      <w:r w:rsidRPr="00ED59D6">
        <w:rPr>
          <w:rFonts w:ascii="Times New Roman" w:eastAsia="Times New Roman" w:hAnsi="Times New Roman" w:cs="Times New Roman"/>
          <w:sz w:val="20"/>
          <w:szCs w:val="20"/>
        </w:rPr>
        <w:t>Students can also continue their academic careers by enrolling in the relevant PhD programs of universities in Turkey or abroad.</w:t>
      </w:r>
    </w:p>
    <w:p w14:paraId="00000007" w14:textId="2A64A918" w:rsidR="002D4A25" w:rsidRDefault="00C41B77" w:rsidP="00ED59D6">
      <w:pPr>
        <w:spacing w:after="0" w:line="36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Aims and Objectives </w:t>
      </w:r>
    </w:p>
    <w:p w14:paraId="00000008" w14:textId="77777777" w:rsidR="002D4A25" w:rsidRDefault="00C41B77">
      <w:pPr>
        <w:spacing w:after="0" w:line="36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Aims: </w:t>
      </w:r>
    </w:p>
    <w:p w14:paraId="0000000A" w14:textId="41C76796" w:rsidR="002D4A25" w:rsidRDefault="00ED59D6">
      <w:pPr>
        <w:spacing w:after="0" w:line="240" w:lineRule="auto"/>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To maintain the education and training approach that aims to develop continuously in art, design and science by preserving the contemporary, original structure it has created, and to train qualified Painting Teachers who have gained the intellectual identity that our country needs in every field from science and technology to art.</w:t>
      </w:r>
    </w:p>
    <w:p w14:paraId="0000000B" w14:textId="77777777" w:rsidR="002D4A25" w:rsidRDefault="00C41B7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0C" w14:textId="77777777" w:rsidR="002D4A25" w:rsidRDefault="00C41B77">
      <w:pPr>
        <w:spacing w:after="0" w:line="36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Objectives: </w:t>
      </w:r>
    </w:p>
    <w:p w14:paraId="0000000E" w14:textId="5E19BB9B" w:rsidR="002D4A25" w:rsidRDefault="00ED59D6">
      <w:pPr>
        <w:spacing w:after="0" w:line="240" w:lineRule="auto"/>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As Niğde Ömer Halisdemir University Department of Painting Education, in order for our country to take its place among contemporary countries; In line with the general objectives of Turkish National Education; To train democratic, intellectual individuals who are fully committed to Atatürk's Principles and Revolutions, who know their rights and responsibilities, who have advanced social awareness, who protect their social and cultural values, who have the necessary professional equipment, who are sensitive to artistic activities, who can think critically and creatively, and who are competent in their fields.</w:t>
      </w:r>
    </w:p>
    <w:p w14:paraId="1C3F1D60" w14:textId="77777777" w:rsidR="00ED59D6" w:rsidRDefault="00ED59D6">
      <w:pPr>
        <w:spacing w:after="0" w:line="240" w:lineRule="auto"/>
        <w:jc w:val="both"/>
        <w:rPr>
          <w:rFonts w:ascii="Times New Roman" w:eastAsia="Times New Roman" w:hAnsi="Times New Roman" w:cs="Times New Roman"/>
          <w:sz w:val="20"/>
          <w:szCs w:val="20"/>
        </w:rPr>
      </w:pPr>
    </w:p>
    <w:p w14:paraId="0000000F" w14:textId="77777777" w:rsidR="002D4A25" w:rsidRDefault="00C41B77">
      <w:pPr>
        <w:spacing w:after="0" w:line="36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Qualification Awarded </w:t>
      </w:r>
    </w:p>
    <w:p w14:paraId="51A5F884" w14:textId="77777777" w:rsidR="00ED59D6" w:rsidRDefault="00ED59D6">
      <w:pPr>
        <w:spacing w:after="0" w:line="360" w:lineRule="auto"/>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Students who successfully complete the program will be awarded a master's degree in Art Teaching.</w:t>
      </w:r>
    </w:p>
    <w:p w14:paraId="00000012" w14:textId="0FA54071" w:rsidR="002D4A25" w:rsidRDefault="00C41B77">
      <w:pPr>
        <w:spacing w:after="0" w:line="36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Level of Qualification </w:t>
      </w:r>
    </w:p>
    <w:p w14:paraId="10071049" w14:textId="77777777" w:rsidR="00ED59D6" w:rsidRDefault="00ED59D6">
      <w:pPr>
        <w:spacing w:after="0" w:line="240" w:lineRule="auto"/>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Art Teaching is a 2-year (4 semesters) program consisting of 120 ECTS. The program offers ECTS credits determined for the "Second Cycle" defined in the "European Qualifications Upper Framework in Higher Education (QF-EHEA)" of the Bologna Process and the "7 Level" qualifications defined in the "Turkish Higher Education Qualifications Framework (TYYÇ)". conditions and level qualifications; It also provides the "Level 7" qualifications defined in the "European Lifelong Learning Qualifications Framework (EQF-LLL)".</w:t>
      </w:r>
    </w:p>
    <w:p w14:paraId="00000014" w14:textId="4D855B29" w:rsidR="002D4A25" w:rsidRDefault="00C41B77">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0000015" w14:textId="77777777" w:rsidR="002D4A25" w:rsidRDefault="00C41B77">
      <w:pPr>
        <w:spacing w:after="0" w:line="36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Specific Admission Requirements </w:t>
      </w:r>
    </w:p>
    <w:p w14:paraId="42282CB2"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Admission conditions are decided in accordance with the regulations determined by the Turkish Higher Education Council. Information on the requirements for application and admission to graduate programs is announced on the university's website at the beginning of each academic year. The following conditions apply to both Turkish and foreign students:</w:t>
      </w:r>
    </w:p>
    <w:p w14:paraId="1A478E7F"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*All students who have graduated from faculties and have a bachelor's degree can apply.</w:t>
      </w:r>
    </w:p>
    <w:p w14:paraId="46324BD8"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*To get at least 55 points (or equivalent) from ALES (Academic Personnel and Graduate Education Entrance Exam)</w:t>
      </w:r>
    </w:p>
    <w:p w14:paraId="12946FAB"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*Candidates who have obtained a Bachelor's Degree abroad must obtain an equivalence certificate from the Council of Higher Education.</w:t>
      </w:r>
    </w:p>
    <w:p w14:paraId="638CB08F"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*ALES score is valid for 5 years. Candidates must apply in person. Applications with missing documents will not be considered.</w:t>
      </w:r>
    </w:p>
    <w:p w14:paraId="275E5C0E"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*For more information, visit the Graduate Admission Procedures and Registration Procedures section in the Institutional Information menu.</w:t>
      </w:r>
    </w:p>
    <w:p w14:paraId="0000001E" w14:textId="69FE5375" w:rsidR="002D4A25"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*For more information about the admission requirements for foreign students, please contact Niğde Ömer Halisdemir University International Relations Office.</w:t>
      </w:r>
    </w:p>
    <w:p w14:paraId="0000001F" w14:textId="77777777" w:rsidR="002D4A25" w:rsidRDefault="002D4A25">
      <w:pPr>
        <w:jc w:val="both"/>
        <w:rPr>
          <w:rFonts w:ascii="Times New Roman" w:eastAsia="Times New Roman" w:hAnsi="Times New Roman" w:cs="Times New Roman"/>
          <w:sz w:val="20"/>
          <w:szCs w:val="20"/>
        </w:rPr>
      </w:pPr>
    </w:p>
    <w:p w14:paraId="00000020" w14:textId="77777777" w:rsidR="002D4A25" w:rsidRDefault="00C41B77">
      <w:pPr>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Contact: </w:t>
      </w:r>
    </w:p>
    <w:p w14:paraId="00000021" w14:textId="77777777" w:rsidR="002D4A25" w:rsidRDefault="00C41B7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International Office Niğde Ömer Halisdemir University, Central Kampüs, Bor Yolu, Niğde, TURKEY </w:t>
      </w:r>
    </w:p>
    <w:p w14:paraId="00000022" w14:textId="77777777" w:rsidR="002D4A25" w:rsidRDefault="00C41B7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Phone: +90 388 225 21 48 </w:t>
      </w:r>
    </w:p>
    <w:p w14:paraId="00000023" w14:textId="77777777" w:rsidR="002D4A25" w:rsidRDefault="00C41B7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Fax: +90 388 225 23 85 </w:t>
      </w:r>
    </w:p>
    <w:p w14:paraId="00000024" w14:textId="77777777" w:rsidR="002D4A25" w:rsidRDefault="00C41B77">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E-mail: erasmus@nigde.edu.tr </w:t>
      </w:r>
    </w:p>
    <w:p w14:paraId="00000025" w14:textId="77777777" w:rsidR="002D4A25" w:rsidRDefault="00C41B77">
      <w:pPr>
        <w:rPr>
          <w:rFonts w:ascii="Times New Roman" w:eastAsia="Times New Roman" w:hAnsi="Times New Roman" w:cs="Times New Roman"/>
          <w:sz w:val="20"/>
          <w:szCs w:val="20"/>
        </w:rPr>
      </w:pPr>
      <w:r>
        <w:rPr>
          <w:rFonts w:ascii="Times New Roman" w:eastAsia="Times New Roman" w:hAnsi="Times New Roman" w:cs="Times New Roman"/>
          <w:sz w:val="20"/>
          <w:szCs w:val="20"/>
        </w:rPr>
        <w:t>Web: http://www.nigde.edu.tr/uluslararasi/index.php?ln=en</w:t>
      </w:r>
    </w:p>
    <w:p w14:paraId="00000026" w14:textId="77777777" w:rsidR="002D4A25" w:rsidRDefault="00C41B77">
      <w:pPr>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Specific Arrangements for Recognition of Prior Learning </w:t>
      </w:r>
    </w:p>
    <w:p w14:paraId="1DAD38E9" w14:textId="77777777" w:rsidR="00ED59D6" w:rsidRDefault="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Based on the principle of lifelong learning, Niğde Ömer Halisdemir University recognizes the courses taken in another institution before and exempts them from graduation credit if the learning outcomes of these courses are compatible with those in Niğde Ömer Halisdemir University Painting and Business Teaching Master's program.</w:t>
      </w:r>
    </w:p>
    <w:p w14:paraId="00000028" w14:textId="50851CC3" w:rsidR="002D4A25" w:rsidRDefault="00C41B77">
      <w:pPr>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Profile of the Programme </w:t>
      </w:r>
    </w:p>
    <w:p w14:paraId="06DBD214"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The Department of Art Education was established to develop creativity, to offer a high quality program for students to follow and learn about the latest technologies, and to enable them to participate in applied and theoretical research at the same time. For this reason, students are provided with the ability to transfer visual perception awareness to the next generations by using technology equipment at the same time.</w:t>
      </w:r>
    </w:p>
    <w:p w14:paraId="3A1708BB"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Painting and Business Education undergraduate program (First Level in the Bologna Process Higher Education Qualifications Framework, 7th Level in TYYÇ) is an academic program that provides its graduates with transition qualifications to professional practice fields, research fields, master's and doctoral programs that require advanced knowledge, skills and competence. It is a major program. The classification of the program according to the "International Standard Classification in Education (ISCED) 2011" and "Turkey Higher Education Qualifications Framework (TYYÇ)" and the education field codes are given below:</w:t>
      </w:r>
    </w:p>
    <w:p w14:paraId="20B6C201"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•ISCED Education Area Code: 14 – Teacher Training and Educational Sciences</w:t>
      </w:r>
    </w:p>
    <w:p w14:paraId="1E3D7290"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•ISCED Program Qualification Level: 7, Category (Profile): 74, Sub-Category: 747 - Academically weighted master's degree</w:t>
      </w:r>
    </w:p>
    <w:p w14:paraId="380FB2DB" w14:textId="2CD709A2"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•Turkey Higher Education Qualifications Framework (TYYÇ) Basic Area Code: 14 –</w:t>
      </w:r>
      <w:r>
        <w:rPr>
          <w:rFonts w:ascii="Times New Roman" w:eastAsia="Times New Roman" w:hAnsi="Times New Roman" w:cs="Times New Roman"/>
          <w:sz w:val="20"/>
          <w:szCs w:val="20"/>
        </w:rPr>
        <w:t xml:space="preserve"> Teacher Training and Education </w:t>
      </w:r>
      <w:r w:rsidRPr="00ED59D6">
        <w:rPr>
          <w:rFonts w:ascii="Times New Roman" w:eastAsia="Times New Roman" w:hAnsi="Times New Roman" w:cs="Times New Roman"/>
          <w:sz w:val="20"/>
          <w:szCs w:val="20"/>
        </w:rPr>
        <w:t>sciences</w:t>
      </w:r>
    </w:p>
    <w:p w14:paraId="6C9D9EB0"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•Turkey Higher Education Qualifications Framework (TYYÇ) Qualification Type (profile): Academically oriented "7th Level" master's degree</w:t>
      </w:r>
    </w:p>
    <w:p w14:paraId="0000002F" w14:textId="291A2F84" w:rsidR="002D4A25" w:rsidRDefault="00C41B77" w:rsidP="00ED59D6">
      <w:pPr>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Learning and Teaching Methods </w:t>
      </w:r>
    </w:p>
    <w:p w14:paraId="0F35C10D" w14:textId="77777777" w:rsidR="00ED59D6" w:rsidRDefault="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The education and training methods most commonly used in the programs at Niğde Ömer Halisdemir University are given below. Programs use most of the methods listed in this list, according to their goals and objectives. The education and training methods used by the Department of Art Education in the entire program in order to achieve the targeted program learning outcomes are included in the "program learning outcomes" section, and the methods related to a course in the program are located in the "course introduction and application information" section.</w:t>
      </w:r>
    </w:p>
    <w:p w14:paraId="00000032" w14:textId="7718D87A" w:rsidR="002D4A25" w:rsidRDefault="00C41B77">
      <w:pPr>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Learning and Teaching Methods </w:t>
      </w:r>
    </w:p>
    <w:p w14:paraId="5B511360"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Class &amp; Classroom Activities</w:t>
      </w:r>
    </w:p>
    <w:p w14:paraId="50612D61"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Creative applications</w:t>
      </w:r>
    </w:p>
    <w:p w14:paraId="3B16C478"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Team work</w:t>
      </w:r>
    </w:p>
    <w:p w14:paraId="737C0E73"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Read</w:t>
      </w:r>
    </w:p>
    <w:p w14:paraId="79435054"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Homework</w:t>
      </w:r>
    </w:p>
    <w:p w14:paraId="266D9EC7"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Preparing project</w:t>
      </w:r>
    </w:p>
    <w:p w14:paraId="5671004C"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Seminar</w:t>
      </w:r>
    </w:p>
    <w:p w14:paraId="482552CE"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Application</w:t>
      </w:r>
    </w:p>
    <w:p w14:paraId="5AE67197"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Social activities</w:t>
      </w:r>
    </w:p>
    <w:p w14:paraId="0000003C" w14:textId="0CA790A3" w:rsidR="002D4A25"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School Experience and Teaching Practice</w:t>
      </w:r>
    </w:p>
    <w:p w14:paraId="136482C0" w14:textId="58273636" w:rsidR="00ED59D6" w:rsidRDefault="00ED59D6" w:rsidP="00ED59D6">
      <w:pPr>
        <w:jc w:val="both"/>
        <w:rPr>
          <w:rFonts w:ascii="Times New Roman" w:eastAsia="Times New Roman" w:hAnsi="Times New Roman" w:cs="Times New Roman"/>
          <w:b/>
          <w:sz w:val="20"/>
          <w:szCs w:val="20"/>
          <w:u w:val="single"/>
        </w:rPr>
      </w:pPr>
    </w:p>
    <w:p w14:paraId="735797D8" w14:textId="77777777" w:rsidR="00597081" w:rsidRDefault="00597081" w:rsidP="00ED59D6">
      <w:pPr>
        <w:jc w:val="both"/>
        <w:rPr>
          <w:rFonts w:ascii="Times New Roman" w:eastAsia="Times New Roman" w:hAnsi="Times New Roman" w:cs="Times New Roman"/>
          <w:b/>
          <w:sz w:val="20"/>
          <w:szCs w:val="20"/>
          <w:u w:val="single"/>
        </w:rPr>
      </w:pPr>
    </w:p>
    <w:p w14:paraId="0000003D" w14:textId="77777777" w:rsidR="002D4A25" w:rsidRDefault="00C41B77">
      <w:pPr>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lastRenderedPageBreak/>
        <w:t xml:space="preserve">Occupational Profiles of Graduates with Examples </w:t>
      </w:r>
    </w:p>
    <w:p w14:paraId="4B35D565" w14:textId="77777777" w:rsidR="00ED59D6" w:rsidRPr="00ED59D6" w:rsidRDefault="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After graduation, doctoral education can be done. Graduates of the Art Education Department have the right to work as art teachers in private schools. They can also find the opportunity to work as a Research Assistant or Lecturer in universities. In addition, they can continue their studies in their own private workshops and give private lessons.</w:t>
      </w:r>
    </w:p>
    <w:p w14:paraId="0000003F" w14:textId="22AFBEC2" w:rsidR="002D4A25" w:rsidRDefault="00C41B77">
      <w:pPr>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Qualification Requirements and Regulations </w:t>
      </w:r>
    </w:p>
    <w:p w14:paraId="4AF9EFEA"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In order to gain proficiency in this field by graduating from the Painting Education Undergraduate Program,</w:t>
      </w:r>
    </w:p>
    <w:p w14:paraId="7175C317"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To pass all the courses with 120 ECTS credits in the lesson plan.</w:t>
      </w:r>
    </w:p>
    <w:p w14:paraId="4DCA3673" w14:textId="77777777" w:rsidR="00ED59D6" w:rsidRP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 Must have a GPA of at least 2.50 out of 4.00</w:t>
      </w:r>
    </w:p>
    <w:p w14:paraId="70717FAF" w14:textId="77777777" w:rsidR="00ED59D6" w:rsidRDefault="00ED59D6" w:rsidP="00ED59D6">
      <w:pPr>
        <w:jc w:val="both"/>
        <w:rPr>
          <w:rFonts w:ascii="Times New Roman" w:eastAsia="Times New Roman" w:hAnsi="Times New Roman" w:cs="Times New Roman"/>
          <w:sz w:val="20"/>
          <w:szCs w:val="20"/>
        </w:rPr>
      </w:pPr>
      <w:r w:rsidRPr="00ED59D6">
        <w:rPr>
          <w:rFonts w:ascii="Times New Roman" w:eastAsia="Times New Roman" w:hAnsi="Times New Roman" w:cs="Times New Roman"/>
          <w:sz w:val="20"/>
          <w:szCs w:val="20"/>
        </w:rPr>
        <w:t>For detailed information, "Niğde Ömer Halisdemir University Graduate Education and Examination Regulations"</w:t>
      </w:r>
    </w:p>
    <w:p w14:paraId="0B3EDC88" w14:textId="77777777" w:rsidR="00B9440A" w:rsidRPr="00B9440A" w:rsidRDefault="00B9440A" w:rsidP="00B9440A">
      <w:pPr>
        <w:jc w:val="both"/>
        <w:rPr>
          <w:rFonts w:ascii="Times New Roman" w:eastAsia="Times New Roman" w:hAnsi="Times New Roman" w:cs="Times New Roman"/>
          <w:b/>
          <w:color w:val="000000" w:themeColor="text1"/>
          <w:sz w:val="20"/>
          <w:szCs w:val="20"/>
          <w:u w:val="single"/>
        </w:rPr>
      </w:pPr>
      <w:r w:rsidRPr="00B9440A">
        <w:rPr>
          <w:rFonts w:ascii="Times New Roman" w:eastAsia="Times New Roman" w:hAnsi="Times New Roman" w:cs="Times New Roman"/>
          <w:b/>
          <w:color w:val="000000" w:themeColor="text1"/>
          <w:sz w:val="20"/>
          <w:szCs w:val="20"/>
          <w:u w:val="single"/>
        </w:rPr>
        <w:t>Teaching Methods</w:t>
      </w:r>
    </w:p>
    <w:p w14:paraId="059EFA71"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The education and training methods most commonly used in the programs at Niğde Ömer Halisdemir University are given below. Programs use most of the methods listed in this list, according to their goals and objectives. The education and training methods used by the Department of Art Education in the entire program in order to achieve the targeted program learning outcomes are included in the "program learning outcomes" section, and the methods related to a course in the program are located in the "course introduction and application information" section.</w:t>
      </w:r>
    </w:p>
    <w:p w14:paraId="3EFA7AE5" w14:textId="77777777" w:rsidR="00B9440A" w:rsidRPr="00B9440A" w:rsidRDefault="00B9440A" w:rsidP="00B9440A">
      <w:pPr>
        <w:jc w:val="both"/>
        <w:rPr>
          <w:rFonts w:ascii="Times New Roman" w:eastAsia="Times New Roman" w:hAnsi="Times New Roman" w:cs="Times New Roman"/>
          <w:b/>
          <w:color w:val="000000" w:themeColor="text1"/>
          <w:sz w:val="20"/>
          <w:szCs w:val="20"/>
          <w:u w:val="single"/>
        </w:rPr>
      </w:pPr>
      <w:r w:rsidRPr="00B9440A">
        <w:rPr>
          <w:rFonts w:ascii="Times New Roman" w:eastAsia="Times New Roman" w:hAnsi="Times New Roman" w:cs="Times New Roman"/>
          <w:b/>
          <w:color w:val="000000" w:themeColor="text1"/>
          <w:sz w:val="20"/>
          <w:szCs w:val="20"/>
          <w:u w:val="single"/>
        </w:rPr>
        <w:t>Education Teaching Methods</w:t>
      </w:r>
    </w:p>
    <w:p w14:paraId="2A4985B9"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Class &amp; Classroom Activities</w:t>
      </w:r>
    </w:p>
    <w:p w14:paraId="619BDE93"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Creative applications</w:t>
      </w:r>
    </w:p>
    <w:p w14:paraId="33B69B79"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Team work</w:t>
      </w:r>
    </w:p>
    <w:p w14:paraId="7F774446"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Read</w:t>
      </w:r>
    </w:p>
    <w:p w14:paraId="1D833109"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Homework</w:t>
      </w:r>
    </w:p>
    <w:p w14:paraId="4CFCE6A2"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Preparing project</w:t>
      </w:r>
    </w:p>
    <w:p w14:paraId="1D28AFD1"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Seminar</w:t>
      </w:r>
    </w:p>
    <w:p w14:paraId="3CEDAC09"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Application</w:t>
      </w:r>
    </w:p>
    <w:p w14:paraId="04ED9736"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Social activities</w:t>
      </w:r>
    </w:p>
    <w:p w14:paraId="29CEA01A"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School Experience and Teaching Practice</w:t>
      </w:r>
    </w:p>
    <w:p w14:paraId="76E0C2BC" w14:textId="77777777" w:rsidR="00B9440A" w:rsidRPr="00B9440A" w:rsidRDefault="00B9440A" w:rsidP="00B9440A">
      <w:pPr>
        <w:jc w:val="both"/>
        <w:rPr>
          <w:rFonts w:ascii="Times New Roman" w:eastAsia="Times New Roman" w:hAnsi="Times New Roman" w:cs="Times New Roman"/>
          <w:b/>
          <w:color w:val="000000" w:themeColor="text1"/>
          <w:sz w:val="20"/>
          <w:szCs w:val="20"/>
          <w:u w:val="single"/>
        </w:rPr>
      </w:pPr>
      <w:r w:rsidRPr="00B9440A">
        <w:rPr>
          <w:rFonts w:ascii="Times New Roman" w:eastAsia="Times New Roman" w:hAnsi="Times New Roman" w:cs="Times New Roman"/>
          <w:b/>
          <w:color w:val="000000" w:themeColor="text1"/>
          <w:sz w:val="20"/>
          <w:szCs w:val="20"/>
          <w:u w:val="single"/>
        </w:rPr>
        <w:t>Occupational Profiles of Graduates with Examples</w:t>
      </w:r>
    </w:p>
    <w:p w14:paraId="279B9677"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After graduation, doctoral education can be done. Graduates of the Art Education Department have the right to work as art teachers in private schools. They can also find the opportunity to work as a Research Assistant or Lecturer at universities. In addition, they can continue their studies in their own private workshops and give private lessons.</w:t>
      </w:r>
    </w:p>
    <w:p w14:paraId="16E829ED" w14:textId="77777777" w:rsidR="00B9440A" w:rsidRPr="00B9440A" w:rsidRDefault="00B9440A" w:rsidP="00B9440A">
      <w:pPr>
        <w:jc w:val="both"/>
        <w:rPr>
          <w:rFonts w:ascii="Times New Roman" w:eastAsia="Times New Roman" w:hAnsi="Times New Roman" w:cs="Times New Roman"/>
          <w:b/>
          <w:color w:val="000000" w:themeColor="text1"/>
          <w:sz w:val="20"/>
          <w:szCs w:val="20"/>
          <w:u w:val="single"/>
        </w:rPr>
      </w:pPr>
      <w:r w:rsidRPr="00B9440A">
        <w:rPr>
          <w:rFonts w:ascii="Times New Roman" w:eastAsia="Times New Roman" w:hAnsi="Times New Roman" w:cs="Times New Roman"/>
          <w:b/>
          <w:color w:val="000000" w:themeColor="text1"/>
          <w:sz w:val="20"/>
          <w:szCs w:val="20"/>
          <w:u w:val="single"/>
        </w:rPr>
        <w:t>Qualification Criteria and Regulations</w:t>
      </w:r>
    </w:p>
    <w:p w14:paraId="639D22A4"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In order to gain proficiency in this field by graduating from the Painting Education Undergraduate Program,</w:t>
      </w:r>
    </w:p>
    <w:p w14:paraId="1E46DA9A"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To pass all the courses with 120 ECTS credits in the lesson plan.</w:t>
      </w:r>
    </w:p>
    <w:p w14:paraId="1F3D0470"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Must have a GPA of at least 2.50 out of 4.00</w:t>
      </w:r>
    </w:p>
    <w:p w14:paraId="02E002E6"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For detailed information, "Niğde Ömer Halisdemir University Graduate Education and Examination Regulations"</w:t>
      </w:r>
    </w:p>
    <w:p w14:paraId="66DBEC99" w14:textId="77777777" w:rsidR="00B9440A" w:rsidRPr="00B9440A" w:rsidRDefault="00B9440A" w:rsidP="00B9440A">
      <w:pPr>
        <w:jc w:val="both"/>
        <w:rPr>
          <w:rFonts w:ascii="Times New Roman" w:eastAsia="Times New Roman" w:hAnsi="Times New Roman" w:cs="Times New Roman"/>
          <w:b/>
          <w:color w:val="000000" w:themeColor="text1"/>
          <w:sz w:val="20"/>
          <w:szCs w:val="20"/>
          <w:u w:val="single"/>
        </w:rPr>
      </w:pPr>
      <w:r w:rsidRPr="00B9440A">
        <w:rPr>
          <w:rFonts w:ascii="Times New Roman" w:eastAsia="Times New Roman" w:hAnsi="Times New Roman" w:cs="Times New Roman"/>
          <w:b/>
          <w:color w:val="000000" w:themeColor="text1"/>
          <w:sz w:val="20"/>
          <w:szCs w:val="20"/>
          <w:u w:val="single"/>
        </w:rPr>
        <w:t>Academic Advancement Opportunities</w:t>
      </w:r>
    </w:p>
    <w:p w14:paraId="1E108885"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xml:space="preserve">Students who successfully complete this program can apply to Master's and, in some cases, doctoral programs in the Department of Art Education or related fields. According to the National Regulation on Graduate Education, students are admitted to graduate programs based on their level of success in undergraduate programs and the scores they get in the Academic Staff and Graduate Education Entrance Exam conducted by the Student Selection </w:t>
      </w:r>
      <w:r w:rsidRPr="00B9440A">
        <w:rPr>
          <w:rFonts w:ascii="Times New Roman" w:eastAsia="Times New Roman" w:hAnsi="Times New Roman" w:cs="Times New Roman"/>
          <w:color w:val="000000" w:themeColor="text1"/>
          <w:sz w:val="20"/>
          <w:szCs w:val="20"/>
        </w:rPr>
        <w:lastRenderedPageBreak/>
        <w:t>and Placement Center (ÖSYM). In this context, national regulations and regulations determined by the senate of each university will determine the weight of ALES results in the general evaluation of the candidates. Depending on the regulations of the institutions, a certain level of proficiency in a foreign language is also required for admission to some of the applied departments.</w:t>
      </w:r>
    </w:p>
    <w:p w14:paraId="7B52261D" w14:textId="77777777" w:rsidR="00B9440A" w:rsidRPr="00B9440A" w:rsidRDefault="00B9440A" w:rsidP="00B9440A">
      <w:pPr>
        <w:jc w:val="both"/>
        <w:rPr>
          <w:rFonts w:ascii="Times New Roman" w:eastAsia="Times New Roman" w:hAnsi="Times New Roman" w:cs="Times New Roman"/>
          <w:b/>
          <w:color w:val="000000" w:themeColor="text1"/>
          <w:sz w:val="20"/>
          <w:szCs w:val="20"/>
          <w:u w:val="single"/>
        </w:rPr>
      </w:pPr>
      <w:r w:rsidRPr="00B9440A">
        <w:rPr>
          <w:rFonts w:ascii="Times New Roman" w:eastAsia="Times New Roman" w:hAnsi="Times New Roman" w:cs="Times New Roman"/>
          <w:b/>
          <w:color w:val="000000" w:themeColor="text1"/>
          <w:sz w:val="20"/>
          <w:szCs w:val="20"/>
          <w:u w:val="single"/>
        </w:rPr>
        <w:t>Exam Regulations, Evaluation and Grading System</w:t>
      </w:r>
    </w:p>
    <w:p w14:paraId="198D1189"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The methods used to measure whether the predicted program learning outcomes have been achieved during the Painting Education program are given below. The outputs related to the course units are shown together with the contribution to the final grades in the section of the course description.</w:t>
      </w:r>
    </w:p>
    <w:p w14:paraId="53E676EE"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Midterm</w:t>
      </w:r>
    </w:p>
    <w:p w14:paraId="4B6D7136"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Final examination</w:t>
      </w:r>
    </w:p>
    <w:p w14:paraId="409CFBE9"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Make-up Exam</w:t>
      </w:r>
    </w:p>
    <w:p w14:paraId="6178E492"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Homework Evaluation</w:t>
      </w:r>
    </w:p>
    <w:p w14:paraId="75E5A774"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Thesis Submission</w:t>
      </w:r>
    </w:p>
    <w:p w14:paraId="0655F4FF"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Document Submission</w:t>
      </w:r>
    </w:p>
    <w:p w14:paraId="2AA484D3"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Midterm and final exams are held on the dates, places and times determined and announced by the university. The final grades of the students are given by the instructors, taking into account that the students meet the attendance requirement based on the midterm exam, homework evaluation, quizzes, final exam and other evaluation results, if any.</w:t>
      </w:r>
    </w:p>
    <w:p w14:paraId="0488503F"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The contribution of the activities during the term in determining the end-of-term grade is 40% and the contribution of the final exam is 60% for all courses in all undergraduate programs determined by the Regulation.</w:t>
      </w:r>
    </w:p>
    <w:p w14:paraId="7C7B4033" w14:textId="77777777" w:rsidR="00B9440A" w:rsidRPr="00B9440A" w:rsidRDefault="00B9440A" w:rsidP="00B9440A">
      <w:pPr>
        <w:jc w:val="both"/>
        <w:rPr>
          <w:rFonts w:ascii="Times New Roman" w:eastAsia="Times New Roman" w:hAnsi="Times New Roman" w:cs="Times New Roman"/>
          <w:b/>
          <w:color w:val="000000" w:themeColor="text1"/>
          <w:sz w:val="20"/>
          <w:szCs w:val="20"/>
          <w:u w:val="single"/>
        </w:rPr>
      </w:pPr>
      <w:r w:rsidRPr="00B9440A">
        <w:rPr>
          <w:rFonts w:ascii="Times New Roman" w:eastAsia="Times New Roman" w:hAnsi="Times New Roman" w:cs="Times New Roman"/>
          <w:b/>
          <w:color w:val="000000" w:themeColor="text1"/>
          <w:sz w:val="20"/>
          <w:szCs w:val="20"/>
          <w:u w:val="single"/>
        </w:rPr>
        <w:t>Evaluation:</w:t>
      </w:r>
    </w:p>
    <w:p w14:paraId="1F5AD107"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A student's success is evaluated by the instructor for each assessment (term studies and final) defined for each course. The assessment is based on 100 full points.</w:t>
      </w:r>
    </w:p>
    <w:p w14:paraId="7A11AD9D"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A student who receives AA, BA, BB, CB, S and EX grades from a course is deemed to have succeeded in that course. Success status of students; The semester's academic average and general academic averages are determined by calculating over 4.00 and announced at the end of each semester. Multiplication of the credit of a course and the coefficient of the success grade obtained from that course gives the weighted score of that course. The semester academic average is found by dividing the total of the weighted points of the courses in the course plan that must be taken in that semester by the total credits of the courses. Annual courses are included in the spring semester academic average. The general academic average is found by dividing the total of weighted points to be calculated based on the success grades obtained from all the courses that the student has to take during the education period, by the total credits of the courses taken (120 ECTS). Course success grades and coefficients are determined as follows:</w:t>
      </w:r>
    </w:p>
    <w:p w14:paraId="133E6975" w14:textId="77777777" w:rsidR="00B9440A" w:rsidRPr="00B9440A" w:rsidRDefault="00B9440A" w:rsidP="00B9440A">
      <w:pPr>
        <w:jc w:val="both"/>
        <w:rPr>
          <w:rFonts w:ascii="Times New Roman" w:eastAsia="Times New Roman" w:hAnsi="Times New Roman" w:cs="Times New Roman"/>
          <w:b/>
          <w:color w:val="000000" w:themeColor="text1"/>
          <w:sz w:val="20"/>
          <w:szCs w:val="20"/>
          <w:u w:val="single"/>
        </w:rPr>
      </w:pPr>
      <w:r w:rsidRPr="00B9440A">
        <w:rPr>
          <w:rFonts w:ascii="Times New Roman" w:eastAsia="Times New Roman" w:hAnsi="Times New Roman" w:cs="Times New Roman"/>
          <w:b/>
          <w:color w:val="000000" w:themeColor="text1"/>
          <w:sz w:val="20"/>
          <w:szCs w:val="20"/>
          <w:u w:val="single"/>
        </w:rPr>
        <w:t>Success Grades (in letters) Coefficients</w:t>
      </w:r>
    </w:p>
    <w:p w14:paraId="5C606613"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AA 4.00</w:t>
      </w:r>
    </w:p>
    <w:p w14:paraId="7938C60F"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BA 3.50</w:t>
      </w:r>
    </w:p>
    <w:p w14:paraId="12132184"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BB 3.00</w:t>
      </w:r>
    </w:p>
    <w:p w14:paraId="02F9865F"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CB 2.50</w:t>
      </w:r>
    </w:p>
    <w:p w14:paraId="39A48D94"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CC 2.00</w:t>
      </w:r>
    </w:p>
    <w:p w14:paraId="78D840E7"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DC 1.50</w:t>
      </w:r>
    </w:p>
    <w:p w14:paraId="1B3EE278"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DD 1.00</w:t>
      </w:r>
    </w:p>
    <w:p w14:paraId="5682D582"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FD 0.50</w:t>
      </w:r>
    </w:p>
    <w:p w14:paraId="7445B3BD" w14:textId="1EA38900" w:rsid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FF 0.00</w:t>
      </w:r>
    </w:p>
    <w:p w14:paraId="02CB9614" w14:textId="57491EE8" w:rsidR="00B9440A" w:rsidRDefault="00B9440A" w:rsidP="00B9440A">
      <w:pPr>
        <w:jc w:val="both"/>
        <w:rPr>
          <w:rFonts w:ascii="Times New Roman" w:eastAsia="Times New Roman" w:hAnsi="Times New Roman" w:cs="Times New Roman"/>
          <w:color w:val="000000" w:themeColor="text1"/>
          <w:sz w:val="20"/>
          <w:szCs w:val="20"/>
        </w:rPr>
      </w:pPr>
    </w:p>
    <w:p w14:paraId="2B33997B" w14:textId="77777777" w:rsidR="00B9440A" w:rsidRPr="00B9440A" w:rsidRDefault="00B9440A" w:rsidP="00B9440A">
      <w:pPr>
        <w:jc w:val="both"/>
        <w:rPr>
          <w:rFonts w:ascii="Times New Roman" w:eastAsia="Times New Roman" w:hAnsi="Times New Roman" w:cs="Times New Roman"/>
          <w:color w:val="000000" w:themeColor="text1"/>
          <w:sz w:val="20"/>
          <w:szCs w:val="20"/>
        </w:rPr>
      </w:pPr>
    </w:p>
    <w:p w14:paraId="61ADC9A8" w14:textId="77777777" w:rsidR="00B9440A" w:rsidRPr="00B9440A" w:rsidRDefault="00B9440A" w:rsidP="00B9440A">
      <w:pPr>
        <w:jc w:val="both"/>
        <w:rPr>
          <w:rFonts w:ascii="Times New Roman" w:eastAsia="Times New Roman" w:hAnsi="Times New Roman" w:cs="Times New Roman"/>
          <w:b/>
          <w:color w:val="000000" w:themeColor="text1"/>
          <w:sz w:val="20"/>
          <w:szCs w:val="20"/>
          <w:u w:val="single"/>
        </w:rPr>
      </w:pPr>
      <w:r w:rsidRPr="00B9440A">
        <w:rPr>
          <w:rFonts w:ascii="Times New Roman" w:eastAsia="Times New Roman" w:hAnsi="Times New Roman" w:cs="Times New Roman"/>
          <w:b/>
          <w:color w:val="000000" w:themeColor="text1"/>
          <w:sz w:val="20"/>
          <w:szCs w:val="20"/>
          <w:u w:val="single"/>
        </w:rPr>
        <w:t>Other Notes:</w:t>
      </w:r>
    </w:p>
    <w:p w14:paraId="631E2379"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S (Successful): Successful in non-credit courses, U (Failed): Unsuccessful in non-credit courses,</w:t>
      </w:r>
    </w:p>
    <w:p w14:paraId="1643B2F3"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P (Continuing): Successful at the end of the first semester in annual courses, EX (Exempt): Successful in the university exemption exam,</w:t>
      </w:r>
    </w:p>
    <w:p w14:paraId="3E34CD86"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NI (Not Included): Grade of the courses not included in the weighted average,</w:t>
      </w:r>
    </w:p>
    <w:p w14:paraId="0ABD5ED5"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NA (absenteeism): Unsuccessful because he does not meet the requirements for attendance and/or practice, and does not have the right to take the general exams,</w:t>
      </w:r>
    </w:p>
    <w:p w14:paraId="1DEBB9FE"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T (Transfer): The grade received by the students transferred from other departments or universities. It is not included in the CPA calculations. Transferred course grade TB: Successful in the only course with a 3.0 GPA. It is not included in GNO accounts.</w:t>
      </w:r>
    </w:p>
    <w:p w14:paraId="774B09FB"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For detailed information, visit the "Grade Evaluation" section.</w:t>
      </w:r>
    </w:p>
    <w:p w14:paraId="14CAD1AE" w14:textId="77777777" w:rsidR="00B9440A" w:rsidRPr="00B9440A" w:rsidRDefault="00B9440A" w:rsidP="00B9440A">
      <w:pPr>
        <w:jc w:val="both"/>
        <w:rPr>
          <w:rFonts w:ascii="Times New Roman" w:eastAsia="Times New Roman" w:hAnsi="Times New Roman" w:cs="Times New Roman"/>
          <w:b/>
          <w:color w:val="000000" w:themeColor="text1"/>
          <w:sz w:val="20"/>
          <w:szCs w:val="20"/>
          <w:u w:val="single"/>
        </w:rPr>
      </w:pPr>
      <w:r w:rsidRPr="00B9440A">
        <w:rPr>
          <w:rFonts w:ascii="Times New Roman" w:eastAsia="Times New Roman" w:hAnsi="Times New Roman" w:cs="Times New Roman"/>
          <w:b/>
          <w:color w:val="000000" w:themeColor="text1"/>
          <w:sz w:val="20"/>
          <w:szCs w:val="20"/>
          <w:u w:val="single"/>
        </w:rPr>
        <w:t>Classification of Qualifications</w:t>
      </w:r>
    </w:p>
    <w:p w14:paraId="43DABE7A"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A student with a GPA of 2.00-2.99 is considered a Successful Student, a student with a GPA of 3.00-3.49 is considered an Honor Student, and a student with a GPA of 3.50-4.00 is considered a High Honor Student.</w:t>
      </w:r>
    </w:p>
    <w:p w14:paraId="39CA25FD" w14:textId="77777777" w:rsidR="00B9440A" w:rsidRPr="00B9440A" w:rsidRDefault="00B9440A" w:rsidP="00B9440A">
      <w:pPr>
        <w:jc w:val="both"/>
        <w:rPr>
          <w:rFonts w:ascii="Times New Roman" w:eastAsia="Times New Roman" w:hAnsi="Times New Roman" w:cs="Times New Roman"/>
          <w:b/>
          <w:color w:val="000000" w:themeColor="text1"/>
          <w:sz w:val="20"/>
          <w:szCs w:val="20"/>
          <w:u w:val="single"/>
        </w:rPr>
      </w:pPr>
      <w:r w:rsidRPr="00B9440A">
        <w:rPr>
          <w:rFonts w:ascii="Times New Roman" w:eastAsia="Times New Roman" w:hAnsi="Times New Roman" w:cs="Times New Roman"/>
          <w:b/>
          <w:color w:val="000000" w:themeColor="text1"/>
          <w:sz w:val="20"/>
          <w:szCs w:val="20"/>
          <w:u w:val="single"/>
        </w:rPr>
        <w:t>Graduation Requirements</w:t>
      </w:r>
    </w:p>
    <w:p w14:paraId="1B202252"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In order for a student to graduate from the Painting Education Master's Program, the following conditions must be met:</w:t>
      </w:r>
    </w:p>
    <w:p w14:paraId="3AD15B3D"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*To complete 120 ECTS credits with a passing grade (minimum 54 ECTS credits for 7 graduate courses, 6 ECTS credits for Seminar Course, 30 ECTS credits for 2 Special Topics I and II Courses, and 60 ECTS for Thesis Studies conducted for 2 consecutive semesters loan)</w:t>
      </w:r>
    </w:p>
    <w:p w14:paraId="0CA5F686"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*To have a GPA of at least 2.50 out of 4.00</w:t>
      </w:r>
    </w:p>
    <w:p w14:paraId="55EF3178" w14:textId="77777777" w:rsidR="00B9440A"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 Preparing and successfully presenting the thesis</w:t>
      </w:r>
    </w:p>
    <w:p w14:paraId="5449AAAD" w14:textId="77777777" w:rsidR="00B9440A" w:rsidRPr="00B9440A" w:rsidRDefault="00B9440A" w:rsidP="00B9440A">
      <w:pPr>
        <w:jc w:val="both"/>
        <w:rPr>
          <w:rFonts w:ascii="Times New Roman" w:eastAsia="Times New Roman" w:hAnsi="Times New Roman" w:cs="Times New Roman"/>
          <w:b/>
          <w:color w:val="000000" w:themeColor="text1"/>
          <w:sz w:val="20"/>
          <w:szCs w:val="20"/>
          <w:u w:val="single"/>
        </w:rPr>
      </w:pPr>
      <w:r w:rsidRPr="00B9440A">
        <w:rPr>
          <w:rFonts w:ascii="Times New Roman" w:eastAsia="Times New Roman" w:hAnsi="Times New Roman" w:cs="Times New Roman"/>
          <w:b/>
          <w:color w:val="000000" w:themeColor="text1"/>
          <w:sz w:val="20"/>
          <w:szCs w:val="20"/>
          <w:u w:val="single"/>
        </w:rPr>
        <w:t>Instruction Type</w:t>
      </w:r>
    </w:p>
    <w:p w14:paraId="0000006D" w14:textId="29257FC6" w:rsidR="002D4A25" w:rsidRPr="00B9440A" w:rsidRDefault="00B9440A" w:rsidP="00B9440A">
      <w:pPr>
        <w:jc w:val="both"/>
        <w:rPr>
          <w:rFonts w:ascii="Times New Roman" w:eastAsia="Times New Roman" w:hAnsi="Times New Roman" w:cs="Times New Roman"/>
          <w:color w:val="000000" w:themeColor="text1"/>
          <w:sz w:val="20"/>
          <w:szCs w:val="20"/>
        </w:rPr>
      </w:pPr>
      <w:r w:rsidRPr="00B9440A">
        <w:rPr>
          <w:rFonts w:ascii="Times New Roman" w:eastAsia="Times New Roman" w:hAnsi="Times New Roman" w:cs="Times New Roman"/>
          <w:color w:val="000000" w:themeColor="text1"/>
          <w:sz w:val="20"/>
          <w:szCs w:val="20"/>
        </w:rPr>
        <w:t>Niğde Ömer Halisdemir University Painting Education Master's program provides full-time and face-to-face education.</w:t>
      </w:r>
    </w:p>
    <w:sectPr w:rsidR="002D4A25" w:rsidRPr="00B9440A">
      <w:pgSz w:w="11906" w:h="16838"/>
      <w:pgMar w:top="1134" w:right="1417" w:bottom="709"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3379B4"/>
    <w:multiLevelType w:val="multilevel"/>
    <w:tmpl w:val="68E454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904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25"/>
    <w:rsid w:val="002D4A25"/>
    <w:rsid w:val="00597081"/>
    <w:rsid w:val="0068345E"/>
    <w:rsid w:val="009C30B8"/>
    <w:rsid w:val="00B9440A"/>
    <w:rsid w:val="00C41B77"/>
    <w:rsid w:val="00ED5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2F05"/>
  <w15:docId w15:val="{A1608EB5-DA22-4911-89B6-8BEC11A0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11"/>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ListeParagraf">
    <w:name w:val="List Paragraph"/>
    <w:basedOn w:val="Normal"/>
    <w:uiPriority w:val="34"/>
    <w:qFormat/>
    <w:rsid w:val="00CE5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Za2NmZdTl/PGBwvE73jt/urIWg==">AMUW2mXs7yCQ2IS8LD35SQ86BTw0Z/gn8+b85+xbQudyAAmi8koDDo2Z6ne1XnImpAjSjc3KxeNqhUYc5j8Vbp8ui/KEqmyZavtDdkJghPzhZyD4SMj4Ia5LxFQzW0xO+uj/RN3LbjnD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1996</Words>
  <Characters>11378</Characters>
  <Application>Microsoft Office Word</Application>
  <DocSecurity>0</DocSecurity>
  <Lines>94</Lines>
  <Paragraphs>26</Paragraphs>
  <ScaleCrop>false</ScaleCrop>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çigdem dogan</cp:lastModifiedBy>
  <cp:revision>6</cp:revision>
  <dcterms:created xsi:type="dcterms:W3CDTF">2019-07-31T07:30:00Z</dcterms:created>
  <dcterms:modified xsi:type="dcterms:W3CDTF">2024-08-26T08:52:00Z</dcterms:modified>
</cp:coreProperties>
</file>