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F1" w:rsidRDefault="000614F1" w:rsidP="000614F1">
      <w:pPr>
        <w:tabs>
          <w:tab w:val="left" w:pos="851"/>
          <w:tab w:val="left" w:pos="993"/>
        </w:tabs>
        <w:spacing w:line="360" w:lineRule="auto"/>
        <w:jc w:val="center"/>
        <w:rPr>
          <w:b/>
        </w:rPr>
      </w:pPr>
      <w:r>
        <w:rPr>
          <w:b/>
        </w:rPr>
        <w:t>T.C.</w:t>
      </w:r>
    </w:p>
    <w:p w:rsidR="000614F1" w:rsidRDefault="000614F1" w:rsidP="000614F1">
      <w:pPr>
        <w:tabs>
          <w:tab w:val="left" w:pos="851"/>
          <w:tab w:val="left" w:pos="993"/>
        </w:tabs>
        <w:spacing w:line="360" w:lineRule="auto"/>
        <w:jc w:val="center"/>
        <w:rPr>
          <w:b/>
        </w:rPr>
      </w:pPr>
      <w:r>
        <w:rPr>
          <w:b/>
        </w:rPr>
        <w:t>NİĞDE ÖMER HALİSDEMİR ÜNİVERSİTESİ</w:t>
      </w:r>
    </w:p>
    <w:p w:rsidR="000614F1" w:rsidRDefault="000614F1" w:rsidP="000614F1">
      <w:pPr>
        <w:tabs>
          <w:tab w:val="left" w:pos="851"/>
          <w:tab w:val="left" w:pos="993"/>
        </w:tabs>
        <w:spacing w:line="360" w:lineRule="auto"/>
        <w:jc w:val="center"/>
        <w:rPr>
          <w:b/>
        </w:rPr>
      </w:pPr>
      <w:r>
        <w:rPr>
          <w:b/>
        </w:rPr>
        <w:t>Antrenörlük Eğitimi Yüksek Lisans Programı</w:t>
      </w:r>
    </w:p>
    <w:p w:rsidR="000614F1" w:rsidRPr="008E5290" w:rsidRDefault="000614F1" w:rsidP="000614F1">
      <w:pPr>
        <w:tabs>
          <w:tab w:val="left" w:pos="851"/>
          <w:tab w:val="left" w:pos="993"/>
        </w:tabs>
        <w:spacing w:line="360" w:lineRule="auto"/>
        <w:jc w:val="center"/>
        <w:rPr>
          <w:b/>
        </w:rPr>
      </w:pPr>
      <w:bookmarkStart w:id="0" w:name="_GoBack"/>
      <w:bookmarkEnd w:id="0"/>
    </w:p>
    <w:p w:rsidR="000614F1" w:rsidRPr="008E5290" w:rsidRDefault="000614F1" w:rsidP="000614F1">
      <w:pPr>
        <w:pStyle w:val="Balk2"/>
        <w:spacing w:line="360" w:lineRule="auto"/>
        <w:rPr>
          <w:szCs w:val="24"/>
        </w:rPr>
      </w:pPr>
      <w:bookmarkStart w:id="1" w:name="_Toc2279426"/>
      <w:r w:rsidRPr="008E5290">
        <w:rPr>
          <w:szCs w:val="24"/>
        </w:rPr>
        <w:t>1. Açılması Önerilen Programın Adı</w:t>
      </w:r>
      <w:bookmarkEnd w:id="1"/>
    </w:p>
    <w:p w:rsidR="000614F1" w:rsidRPr="008E5290" w:rsidRDefault="000614F1" w:rsidP="000614F1">
      <w:pPr>
        <w:tabs>
          <w:tab w:val="left" w:pos="851"/>
          <w:tab w:val="left" w:pos="993"/>
        </w:tabs>
        <w:spacing w:line="360" w:lineRule="auto"/>
        <w:jc w:val="both"/>
      </w:pPr>
      <w:r>
        <w:t>Hareket ve Antrenman Bilimleri</w:t>
      </w:r>
      <w:r w:rsidRPr="008E5290">
        <w:t xml:space="preserve"> Anabilim Dalı Tezli Yüksek Lisans Programı </w:t>
      </w:r>
    </w:p>
    <w:p w:rsidR="000614F1" w:rsidRPr="008E5290" w:rsidRDefault="000614F1" w:rsidP="000614F1">
      <w:pPr>
        <w:tabs>
          <w:tab w:val="left" w:pos="851"/>
          <w:tab w:val="left" w:pos="993"/>
        </w:tabs>
        <w:spacing w:line="360" w:lineRule="auto"/>
        <w:jc w:val="both"/>
      </w:pPr>
    </w:p>
    <w:p w:rsidR="000614F1" w:rsidRPr="008E5290" w:rsidRDefault="000614F1" w:rsidP="000614F1">
      <w:pPr>
        <w:pStyle w:val="Balk2"/>
        <w:spacing w:line="360" w:lineRule="auto"/>
        <w:rPr>
          <w:szCs w:val="24"/>
        </w:rPr>
      </w:pPr>
      <w:bookmarkStart w:id="2" w:name="_Toc2279427"/>
      <w:r w:rsidRPr="008E5290">
        <w:rPr>
          <w:szCs w:val="24"/>
        </w:rPr>
        <w:t>2. Programın Açılma Gerekçesi</w:t>
      </w:r>
      <w:bookmarkEnd w:id="2"/>
    </w:p>
    <w:p w:rsidR="000614F1" w:rsidRPr="008E5290" w:rsidRDefault="000614F1" w:rsidP="000614F1">
      <w:pPr>
        <w:spacing w:line="360" w:lineRule="auto"/>
        <w:jc w:val="both"/>
      </w:pPr>
      <w:r w:rsidRPr="008E5290">
        <w:t xml:space="preserve">Spor Bilimleri Fakülteleri ve Beden Eğitimi ve Spor Yüksekokullarında öğrenciler dört bölüm (Beden Eğitimi ve Spor Öğretmenliği, Antrenörlük Eğitimi, Spor Yöneticiliği ve Rekreasyon) altında eğitim görmektedir. Bu bölümlerin amaçları ve ders müfredatları göz önüne alındığında Antrenörlük </w:t>
      </w:r>
      <w:r>
        <w:t>Eğitimi b</w:t>
      </w:r>
      <w:r w:rsidRPr="008E5290">
        <w:t xml:space="preserve">ölümünün sağlık bilimleri ile yakından ilişkili olduğu görülmektedir. Antrenörlük Eğitimi bölümünden mezun olan lisans öğrencilerinin lisansüstü eğitimlerinde sağlık ve antrenman ile ilişkili yeni </w:t>
      </w:r>
      <w:r>
        <w:t xml:space="preserve">terminoloji ve </w:t>
      </w:r>
      <w:proofErr w:type="gramStart"/>
      <w:r>
        <w:t>literatürün</w:t>
      </w:r>
      <w:proofErr w:type="gramEnd"/>
      <w:r>
        <w:t xml:space="preserve"> bir</w:t>
      </w:r>
      <w:r w:rsidRPr="008E5290">
        <w:t xml:space="preserve">birini desteklemesi ve araştırmalarda kullanılacak gerekli teçhizata daha kolay ulaşabilmeleri için Sağlık Bilimleri </w:t>
      </w:r>
      <w:proofErr w:type="spellStart"/>
      <w:r w:rsidRPr="008E5290">
        <w:t>Enstitütülerinde</w:t>
      </w:r>
      <w:proofErr w:type="spellEnd"/>
      <w:r w:rsidRPr="008E5290">
        <w:t xml:space="preserve"> eğitim </w:t>
      </w:r>
      <w:proofErr w:type="spellStart"/>
      <w:r w:rsidRPr="008E5290">
        <w:t>görmeleleri</w:t>
      </w:r>
      <w:proofErr w:type="spellEnd"/>
      <w:r w:rsidRPr="008E5290">
        <w:t xml:space="preserve"> önemli bir ihtiyaçtır. Üniversitemizde yeni kurulan Sağlık Bilimleri Enstitüsünün lisansüstü öğrencilerin bu ihtiyaçlarını karşılayacağı ve daha kaliteli bir eğitim olanağı sağlayacağı düşünülmektedir. </w:t>
      </w:r>
    </w:p>
    <w:p w:rsidR="000614F1" w:rsidRPr="008E5290" w:rsidRDefault="000614F1" w:rsidP="000614F1">
      <w:pPr>
        <w:tabs>
          <w:tab w:val="left" w:pos="851"/>
          <w:tab w:val="left" w:pos="927"/>
          <w:tab w:val="left" w:pos="993"/>
        </w:tabs>
        <w:spacing w:line="360" w:lineRule="auto"/>
        <w:jc w:val="both"/>
      </w:pPr>
      <w:r>
        <w:t>Hareket ve Antrenman Bilimleri</w:t>
      </w:r>
      <w:r w:rsidRPr="008E5290">
        <w:t xml:space="preserve"> Anabilim Dalı; çağdaş spor bilimi teknolojilerindeki gelişmelere katkıda bulunan, bu alandaki gelişmeleri takip ederek, araştırıcı, sorgulayıcı, çözümleyici düşünce yapısında olan, değişen dünya koşullarında topluma liderlik yapabilecek insani değerlere saygılı, toplum sağlığı açısından sporun öneminin bilincinde olan modern sporcu eğitim metotlarını benimsemiş </w:t>
      </w:r>
      <w:proofErr w:type="gramStart"/>
      <w:r w:rsidRPr="008E5290">
        <w:t>antrenörler</w:t>
      </w:r>
      <w:proofErr w:type="gramEnd"/>
      <w:r w:rsidRPr="008E5290">
        <w:t xml:space="preserve"> yetiştirmeyi amaç edinmiştir.</w:t>
      </w:r>
    </w:p>
    <w:p w:rsidR="000614F1" w:rsidRPr="008E5290" w:rsidRDefault="000614F1" w:rsidP="000614F1">
      <w:pPr>
        <w:tabs>
          <w:tab w:val="left" w:pos="851"/>
          <w:tab w:val="left" w:pos="993"/>
        </w:tabs>
        <w:spacing w:line="360" w:lineRule="auto"/>
        <w:jc w:val="both"/>
      </w:pPr>
      <w:r>
        <w:t>Hareket ve Antrenman Bilimleri</w:t>
      </w:r>
      <w:r w:rsidRPr="008E5290">
        <w:t xml:space="preserve"> Tezli Yüksek Lisans Programı, </w:t>
      </w:r>
      <w:proofErr w:type="gramStart"/>
      <w:r w:rsidRPr="008E5290">
        <w:t>antrenörlük</w:t>
      </w:r>
      <w:proofErr w:type="gramEnd"/>
      <w:r w:rsidRPr="008E5290">
        <w:t xml:space="preserve"> eğitimi disiplininde günümüz spor alanında gereksinim duyduğu uzmanlaşmış bireyler ve üniversitelerin ihtiyaç duyduğu akademisyenler yetiştirmeyi amaçlamaktadır. Bu temel amaca ek olarak </w:t>
      </w:r>
      <w:r>
        <w:t>Hareket ve Antrenman Bilimleri</w:t>
      </w:r>
      <w:r w:rsidRPr="008E5290">
        <w:t xml:space="preserve"> Anabilim Dalı Tezli Yüksek Lisans Programı; </w:t>
      </w:r>
    </w:p>
    <w:p w:rsidR="000614F1" w:rsidRPr="008E5290" w:rsidRDefault="000614F1" w:rsidP="000614F1">
      <w:pPr>
        <w:pStyle w:val="ListeParagraf"/>
        <w:numPr>
          <w:ilvl w:val="0"/>
          <w:numId w:val="4"/>
        </w:numPr>
        <w:tabs>
          <w:tab w:val="left" w:pos="851"/>
          <w:tab w:val="left" w:pos="993"/>
        </w:tabs>
        <w:spacing w:after="0" w:line="360" w:lineRule="auto"/>
        <w:jc w:val="both"/>
        <w:rPr>
          <w:rFonts w:ascii="Times New Roman" w:eastAsia="Times New Roman" w:hAnsi="Times New Roman" w:cs="Times New Roman"/>
          <w:sz w:val="24"/>
          <w:szCs w:val="24"/>
          <w:lang w:eastAsia="tr-TR"/>
        </w:rPr>
      </w:pPr>
      <w:r w:rsidRPr="008E5290">
        <w:rPr>
          <w:rFonts w:ascii="Times New Roman" w:eastAsia="Times New Roman" w:hAnsi="Times New Roman" w:cs="Times New Roman"/>
          <w:sz w:val="24"/>
          <w:szCs w:val="24"/>
          <w:lang w:eastAsia="tr-TR"/>
        </w:rPr>
        <w:t>Bilim dalımızın bilimsel araştırma etkinliğinin nicelik ve nitelik açısından artmasına,</w:t>
      </w:r>
    </w:p>
    <w:p w:rsidR="000614F1" w:rsidRPr="008E5290" w:rsidRDefault="000614F1" w:rsidP="000614F1">
      <w:pPr>
        <w:pStyle w:val="ListeParagraf"/>
        <w:numPr>
          <w:ilvl w:val="0"/>
          <w:numId w:val="4"/>
        </w:numPr>
        <w:tabs>
          <w:tab w:val="left" w:pos="851"/>
          <w:tab w:val="left" w:pos="993"/>
        </w:tabs>
        <w:spacing w:after="0" w:line="360" w:lineRule="auto"/>
        <w:jc w:val="both"/>
        <w:rPr>
          <w:rFonts w:ascii="Times New Roman" w:eastAsia="Times New Roman" w:hAnsi="Times New Roman" w:cs="Times New Roman"/>
          <w:sz w:val="24"/>
          <w:szCs w:val="24"/>
          <w:lang w:eastAsia="tr-TR"/>
        </w:rPr>
      </w:pPr>
      <w:r w:rsidRPr="008E5290">
        <w:rPr>
          <w:rFonts w:ascii="Times New Roman" w:eastAsia="Times New Roman" w:hAnsi="Times New Roman" w:cs="Times New Roman"/>
          <w:sz w:val="24"/>
          <w:szCs w:val="24"/>
          <w:lang w:eastAsia="tr-TR"/>
        </w:rPr>
        <w:t xml:space="preserve">Tez çalışmalarını uluslararası/ulusal yayın ortamlarında makale veya bildiri olarak yayımlatarak Ülkemiz ve Üniversitemiz künyeli yayın adedinin artmasına, </w:t>
      </w:r>
    </w:p>
    <w:p w:rsidR="000614F1" w:rsidRPr="008E5290" w:rsidRDefault="000614F1" w:rsidP="000614F1">
      <w:pPr>
        <w:pStyle w:val="ListeParagraf"/>
        <w:numPr>
          <w:ilvl w:val="0"/>
          <w:numId w:val="4"/>
        </w:numPr>
        <w:tabs>
          <w:tab w:val="left" w:pos="851"/>
          <w:tab w:val="left" w:pos="993"/>
        </w:tabs>
        <w:spacing w:after="0" w:line="360" w:lineRule="auto"/>
        <w:jc w:val="both"/>
        <w:rPr>
          <w:rFonts w:ascii="Times New Roman" w:eastAsia="Times New Roman" w:hAnsi="Times New Roman" w:cs="Times New Roman"/>
          <w:sz w:val="24"/>
          <w:szCs w:val="24"/>
          <w:lang w:eastAsia="tr-TR"/>
        </w:rPr>
      </w:pPr>
      <w:r w:rsidRPr="008E5290">
        <w:rPr>
          <w:rFonts w:ascii="Times New Roman" w:eastAsia="Times New Roman" w:hAnsi="Times New Roman" w:cs="Times New Roman"/>
          <w:sz w:val="24"/>
          <w:szCs w:val="24"/>
          <w:lang w:eastAsia="tr-TR"/>
        </w:rPr>
        <w:t xml:space="preserve">Öğretim üyelerinin bilimsel aktivitelerinin verimliliğinin ve etkinliğinin artmasına katkı sağlayarak Ülkemiz yükseköğrenim politikasının temellerinden birini oluşturan bilimsel faaliyetlerin her yönüyle iyileştirilmesi hedefine ulaşılmasına da yardımcı olacaktır. </w:t>
      </w:r>
    </w:p>
    <w:p w:rsidR="000614F1" w:rsidRPr="008E5290" w:rsidRDefault="000614F1" w:rsidP="000614F1">
      <w:pPr>
        <w:tabs>
          <w:tab w:val="left" w:pos="851"/>
          <w:tab w:val="left" w:pos="993"/>
        </w:tabs>
        <w:spacing w:line="360" w:lineRule="auto"/>
        <w:jc w:val="both"/>
      </w:pPr>
      <w:r w:rsidRPr="008E5290">
        <w:lastRenderedPageBreak/>
        <w:t xml:space="preserve">Bazı tez çalışmalarının çeşitli yayın ortamlarında makale olarak yayımlanması, belirlenen amaçlara kısmen de olsa ulaşıldığının önemli bir göstergesidir. Bu anlamda, Beden Eğitimi ve Spor Anabilim Dalı Tezli Yüksek Lisans Programının Üniversitemiz künyeli yayın adedine katkı sağladığını belirtmek mümkündür. Bunun yanında, aktif olarak derse devam eden yüksek lisans öğrencilerine derslerde verilen makaleler aracılığıyla öğrencilerle çeşitli konular üzerinden tartışmalar yapılmakta ve böylece öğretim üyeleri dinamik kalmaktadırlar. Bu durum, ilgili öğretim üyelerinin verimliliğini ve etkinliğini artırmaktadır. Sonuçta, bilim dalımızın bilimsel araştırma etkinliği nicelik ve nitelik olarak artmaktadır. </w:t>
      </w:r>
    </w:p>
    <w:p w:rsidR="000614F1" w:rsidRPr="008E5290" w:rsidRDefault="000614F1" w:rsidP="000614F1">
      <w:pPr>
        <w:tabs>
          <w:tab w:val="left" w:pos="851"/>
          <w:tab w:val="left" w:pos="993"/>
        </w:tabs>
        <w:spacing w:line="360" w:lineRule="auto"/>
        <w:jc w:val="both"/>
        <w:rPr>
          <w:b/>
        </w:rPr>
      </w:pPr>
    </w:p>
    <w:p w:rsidR="000614F1" w:rsidRPr="008E5290" w:rsidRDefault="000614F1" w:rsidP="000614F1">
      <w:pPr>
        <w:pStyle w:val="Balk2"/>
        <w:spacing w:line="360" w:lineRule="auto"/>
        <w:jc w:val="both"/>
        <w:rPr>
          <w:szCs w:val="24"/>
        </w:rPr>
      </w:pPr>
      <w:bookmarkStart w:id="3" w:name="_Toc2279428"/>
      <w:r w:rsidRPr="008E5290">
        <w:rPr>
          <w:szCs w:val="24"/>
        </w:rPr>
        <w:t>3. Halen Üniversitenizde Yürütülmekte Olan Yüksek Lisans Programlarının Adları ve Açılması Önerilen Program, Halen Yürütülmekte Olan Diğer Yüksek Lisans Programları ile İşbirliği</w:t>
      </w:r>
      <w:bookmarkEnd w:id="3"/>
    </w:p>
    <w:p w:rsidR="000614F1" w:rsidRPr="008E5290" w:rsidRDefault="000614F1" w:rsidP="000614F1">
      <w:pPr>
        <w:tabs>
          <w:tab w:val="left" w:pos="851"/>
          <w:tab w:val="left" w:pos="993"/>
        </w:tabs>
        <w:spacing w:line="360" w:lineRule="auto"/>
        <w:jc w:val="both"/>
      </w:pPr>
      <w:r w:rsidRPr="008E5290">
        <w:t xml:space="preserve">Üniversitemiz Sosyal Bilimler Enstitüsünde 1997 tarihinde açılan Beden Eğitimi ve Spor Anabilim Dalı Tezli Yüksek Lisans programı bulunmaktadır. Açılması önerilen </w:t>
      </w:r>
      <w:r>
        <w:t>Hareket ve Antrenman Bilimleri</w:t>
      </w:r>
      <w:r w:rsidRPr="008E5290">
        <w:t xml:space="preserve"> Tezli Yüksek Lisans Programında dersleri yürütecek öğretim üyeleri, hali hazırda eğitime devam eden Beden Eğitimi ve Spor Yüksek Lisans Programı derslerini yürütmektedir. İlgili öğretim üyeleri, aynı zamanda, Sosyal Bilimler Enstitüsü bünyesinde ihtiyaç duyulması durumunda diğer bilim dallarının programlarına katkı sağlamaktadır. Bu anlamda açılması önerilen programda, ihtiyaç duyulması durumunda, diğer programların akademik birimlerinin öğretim üyelerinden destek alınması ve ortaklaşa çalışılması için uygun altyapı Üniversitemizde mevcuttur.  </w:t>
      </w:r>
    </w:p>
    <w:p w:rsidR="000614F1" w:rsidRPr="008E5290" w:rsidRDefault="000614F1" w:rsidP="000614F1">
      <w:pPr>
        <w:tabs>
          <w:tab w:val="left" w:pos="851"/>
          <w:tab w:val="left" w:pos="993"/>
        </w:tabs>
        <w:spacing w:line="360" w:lineRule="auto"/>
        <w:jc w:val="both"/>
      </w:pPr>
    </w:p>
    <w:p w:rsidR="000614F1" w:rsidRPr="008E5290" w:rsidRDefault="000614F1" w:rsidP="000614F1">
      <w:pPr>
        <w:pStyle w:val="Balk2"/>
        <w:spacing w:line="360" w:lineRule="auto"/>
        <w:rPr>
          <w:szCs w:val="24"/>
        </w:rPr>
      </w:pPr>
      <w:bookmarkStart w:id="4" w:name="_Toc2279429"/>
      <w:r w:rsidRPr="008E5290">
        <w:rPr>
          <w:szCs w:val="24"/>
        </w:rPr>
        <w:t>4. Önerilen Yüksek Lisans Programı ile İlgili Olarak Yurtdışı Örnekleri</w:t>
      </w:r>
      <w:bookmarkEnd w:id="4"/>
    </w:p>
    <w:p w:rsidR="000614F1" w:rsidRDefault="000614F1" w:rsidP="000614F1">
      <w:pPr>
        <w:pStyle w:val="ListeParagraf"/>
        <w:numPr>
          <w:ilvl w:val="0"/>
          <w:numId w:val="6"/>
        </w:numPr>
        <w:tabs>
          <w:tab w:val="left" w:pos="851"/>
          <w:tab w:val="left" w:pos="993"/>
        </w:tabs>
        <w:spacing w:after="0" w:line="360" w:lineRule="auto"/>
        <w:jc w:val="both"/>
        <w:rPr>
          <w:rFonts w:ascii="Times New Roman" w:hAnsi="Times New Roman" w:cs="Times New Roman"/>
          <w:sz w:val="24"/>
          <w:szCs w:val="24"/>
          <w:lang w:val="en-US"/>
        </w:rPr>
      </w:pPr>
      <w:proofErr w:type="spellStart"/>
      <w:r w:rsidRPr="008E5290">
        <w:rPr>
          <w:rFonts w:ascii="Times New Roman" w:hAnsi="Times New Roman" w:cs="Times New Roman"/>
          <w:sz w:val="24"/>
          <w:szCs w:val="24"/>
          <w:lang w:val="en-US"/>
        </w:rPr>
        <w:t>Cenrtal</w:t>
      </w:r>
      <w:proofErr w:type="spellEnd"/>
      <w:r w:rsidRPr="008E5290">
        <w:rPr>
          <w:rFonts w:ascii="Times New Roman" w:hAnsi="Times New Roman" w:cs="Times New Roman"/>
          <w:sz w:val="24"/>
          <w:szCs w:val="24"/>
          <w:lang w:val="en-US"/>
        </w:rPr>
        <w:t xml:space="preserve"> Washington University</w:t>
      </w:r>
    </w:p>
    <w:p w:rsidR="000614F1" w:rsidRDefault="000614F1" w:rsidP="000614F1">
      <w:pPr>
        <w:pStyle w:val="ListeParagraf"/>
        <w:numPr>
          <w:ilvl w:val="0"/>
          <w:numId w:val="6"/>
        </w:numPr>
        <w:tabs>
          <w:tab w:val="left" w:pos="851"/>
          <w:tab w:val="left" w:pos="993"/>
        </w:tabs>
        <w:spacing w:after="0" w:line="360" w:lineRule="auto"/>
        <w:jc w:val="both"/>
        <w:rPr>
          <w:rFonts w:ascii="Times New Roman" w:hAnsi="Times New Roman" w:cs="Times New Roman"/>
          <w:sz w:val="24"/>
          <w:szCs w:val="24"/>
          <w:lang w:val="en-US"/>
        </w:rPr>
      </w:pPr>
      <w:r w:rsidRPr="008E5290">
        <w:rPr>
          <w:rFonts w:ascii="Times New Roman" w:hAnsi="Times New Roman" w:cs="Times New Roman"/>
          <w:sz w:val="24"/>
          <w:szCs w:val="24"/>
          <w:lang w:val="en-US"/>
        </w:rPr>
        <w:t>Boston University School of Education</w:t>
      </w:r>
    </w:p>
    <w:p w:rsidR="000614F1" w:rsidRPr="008E5290" w:rsidRDefault="000614F1" w:rsidP="000614F1">
      <w:pPr>
        <w:pStyle w:val="ListeParagraf"/>
        <w:numPr>
          <w:ilvl w:val="0"/>
          <w:numId w:val="6"/>
        </w:numPr>
        <w:tabs>
          <w:tab w:val="left" w:pos="851"/>
          <w:tab w:val="left" w:pos="993"/>
        </w:tabs>
        <w:spacing w:after="0" w:line="360" w:lineRule="auto"/>
        <w:jc w:val="both"/>
        <w:rPr>
          <w:rFonts w:ascii="Times New Roman" w:hAnsi="Times New Roman" w:cs="Times New Roman"/>
          <w:sz w:val="24"/>
          <w:szCs w:val="24"/>
          <w:lang w:val="en-US"/>
        </w:rPr>
      </w:pPr>
      <w:r w:rsidRPr="008E5290">
        <w:rPr>
          <w:rFonts w:ascii="Times New Roman" w:hAnsi="Times New Roman" w:cs="Times New Roman"/>
          <w:sz w:val="24"/>
          <w:szCs w:val="24"/>
          <w:lang w:val="en-US"/>
        </w:rPr>
        <w:t xml:space="preserve">The University of Sydney </w:t>
      </w:r>
    </w:p>
    <w:p w:rsidR="000614F1" w:rsidRPr="008E5290" w:rsidRDefault="000614F1" w:rsidP="000614F1">
      <w:pPr>
        <w:tabs>
          <w:tab w:val="left" w:pos="851"/>
          <w:tab w:val="left" w:pos="993"/>
        </w:tabs>
        <w:spacing w:line="360" w:lineRule="auto"/>
        <w:jc w:val="both"/>
        <w:rPr>
          <w:b/>
        </w:rPr>
      </w:pPr>
    </w:p>
    <w:p w:rsidR="000614F1" w:rsidRPr="008E5290" w:rsidRDefault="000614F1" w:rsidP="000614F1">
      <w:pPr>
        <w:pStyle w:val="Balk2"/>
        <w:spacing w:line="360" w:lineRule="auto"/>
        <w:rPr>
          <w:szCs w:val="24"/>
        </w:rPr>
      </w:pPr>
      <w:bookmarkStart w:id="5" w:name="_Toc2279430"/>
      <w:r w:rsidRPr="008E5290">
        <w:rPr>
          <w:szCs w:val="24"/>
        </w:rPr>
        <w:t>5. Önerilen Yüksek Lisans Programının Kapsamını ve Hangi Bilim Dallarını İçerdiği</w:t>
      </w:r>
      <w:bookmarkEnd w:id="5"/>
    </w:p>
    <w:p w:rsidR="000614F1" w:rsidRPr="008E5290" w:rsidRDefault="000614F1" w:rsidP="000614F1">
      <w:pPr>
        <w:tabs>
          <w:tab w:val="left" w:pos="851"/>
          <w:tab w:val="left" w:pos="993"/>
        </w:tabs>
        <w:spacing w:line="360" w:lineRule="auto"/>
        <w:jc w:val="both"/>
      </w:pPr>
      <w:r w:rsidRPr="008E5290">
        <w:t xml:space="preserve">Açılması önerilen yüksek lisans programı </w:t>
      </w:r>
      <w:r>
        <w:t>Hareket ve Antrenman Bilimleri</w:t>
      </w:r>
      <w:r w:rsidRPr="008E5290">
        <w:t xml:space="preserve"> Anabilim Dalını kapsamaktadır.  </w:t>
      </w:r>
    </w:p>
    <w:p w:rsidR="000614F1" w:rsidRPr="008E5290" w:rsidRDefault="000614F1" w:rsidP="000614F1">
      <w:pPr>
        <w:tabs>
          <w:tab w:val="left" w:pos="851"/>
          <w:tab w:val="left" w:pos="993"/>
        </w:tabs>
        <w:spacing w:line="360" w:lineRule="auto"/>
        <w:jc w:val="both"/>
      </w:pPr>
    </w:p>
    <w:p w:rsidR="000614F1" w:rsidRPr="008E5290" w:rsidRDefault="000614F1" w:rsidP="000614F1">
      <w:pPr>
        <w:pStyle w:val="Balk2"/>
        <w:spacing w:line="360" w:lineRule="auto"/>
        <w:rPr>
          <w:szCs w:val="24"/>
        </w:rPr>
      </w:pPr>
      <w:bookmarkStart w:id="6" w:name="_Toc2279431"/>
      <w:r w:rsidRPr="008E5290">
        <w:rPr>
          <w:szCs w:val="24"/>
        </w:rPr>
        <w:t>6. Açılması Önerilen Programa Öğrenci Talebi ile İlgili Tahmini Bilgiler</w:t>
      </w:r>
      <w:bookmarkEnd w:id="6"/>
    </w:p>
    <w:p w:rsidR="000614F1" w:rsidRPr="008E5290" w:rsidRDefault="000614F1" w:rsidP="000614F1">
      <w:pPr>
        <w:tabs>
          <w:tab w:val="left" w:pos="851"/>
          <w:tab w:val="left" w:pos="993"/>
        </w:tabs>
        <w:spacing w:line="360" w:lineRule="auto"/>
        <w:jc w:val="both"/>
      </w:pPr>
      <w:r w:rsidRPr="008E5290">
        <w:t>Ek 1. Tablo 1. de belirtilmiştir.</w:t>
      </w:r>
    </w:p>
    <w:p w:rsidR="000614F1" w:rsidRPr="008E5290" w:rsidRDefault="000614F1" w:rsidP="000614F1">
      <w:pPr>
        <w:tabs>
          <w:tab w:val="left" w:pos="851"/>
          <w:tab w:val="left" w:pos="993"/>
        </w:tabs>
        <w:spacing w:line="360" w:lineRule="auto"/>
        <w:jc w:val="both"/>
      </w:pPr>
    </w:p>
    <w:p w:rsidR="000614F1" w:rsidRPr="008E5290" w:rsidRDefault="000614F1" w:rsidP="000614F1">
      <w:pPr>
        <w:tabs>
          <w:tab w:val="left" w:pos="851"/>
          <w:tab w:val="left" w:pos="993"/>
        </w:tabs>
        <w:spacing w:line="360" w:lineRule="auto"/>
        <w:jc w:val="both"/>
        <w:rPr>
          <w:b/>
        </w:rPr>
      </w:pPr>
    </w:p>
    <w:p w:rsidR="000614F1" w:rsidRPr="008E5290" w:rsidRDefault="000614F1" w:rsidP="000614F1">
      <w:pPr>
        <w:tabs>
          <w:tab w:val="left" w:pos="851"/>
          <w:tab w:val="left" w:pos="993"/>
        </w:tabs>
        <w:spacing w:line="360" w:lineRule="auto"/>
        <w:jc w:val="both"/>
        <w:rPr>
          <w:b/>
        </w:rPr>
      </w:pPr>
    </w:p>
    <w:p w:rsidR="000614F1" w:rsidRPr="008E5290" w:rsidRDefault="000614F1" w:rsidP="000614F1">
      <w:pPr>
        <w:tabs>
          <w:tab w:val="left" w:pos="851"/>
          <w:tab w:val="left" w:pos="993"/>
        </w:tabs>
        <w:spacing w:line="360" w:lineRule="auto"/>
        <w:jc w:val="both"/>
      </w:pPr>
      <w:r w:rsidRPr="008E5290">
        <w:rPr>
          <w:b/>
        </w:rPr>
        <w:t>Tablo 1.</w:t>
      </w:r>
      <w:r w:rsidRPr="008E5290">
        <w:t xml:space="preserve"> Açılması Önerilen Programa Öğrenci Talebi ile İlgili Tahmini Bilgiler</w:t>
      </w:r>
    </w:p>
    <w:tbl>
      <w:tblPr>
        <w:tblStyle w:val="TabloKlavuzu"/>
        <w:tblW w:w="0" w:type="auto"/>
        <w:jc w:val="center"/>
        <w:tblLook w:val="04A0" w:firstRow="1" w:lastRow="0" w:firstColumn="1" w:lastColumn="0" w:noHBand="0" w:noVBand="1"/>
      </w:tblPr>
      <w:tblGrid>
        <w:gridCol w:w="2246"/>
        <w:gridCol w:w="2247"/>
        <w:gridCol w:w="2247"/>
        <w:gridCol w:w="2247"/>
      </w:tblGrid>
      <w:tr w:rsidR="000614F1" w:rsidRPr="008E5290" w:rsidTr="00083F48">
        <w:trPr>
          <w:trHeight w:val="369"/>
          <w:jc w:val="center"/>
        </w:trPr>
        <w:tc>
          <w:tcPr>
            <w:tcW w:w="2246" w:type="dxa"/>
            <w:vMerge w:val="restart"/>
            <w:vAlign w:val="center"/>
          </w:tcPr>
          <w:p w:rsidR="000614F1" w:rsidRPr="008E5290" w:rsidRDefault="000614F1" w:rsidP="00083F48">
            <w:pPr>
              <w:spacing w:line="360" w:lineRule="auto"/>
              <w:rPr>
                <w:b/>
              </w:rPr>
            </w:pPr>
          </w:p>
        </w:tc>
        <w:tc>
          <w:tcPr>
            <w:tcW w:w="4494" w:type="dxa"/>
            <w:gridSpan w:val="2"/>
            <w:vAlign w:val="center"/>
          </w:tcPr>
          <w:p w:rsidR="000614F1" w:rsidRPr="008E5290" w:rsidRDefault="000614F1" w:rsidP="00083F48">
            <w:pPr>
              <w:spacing w:line="360" w:lineRule="auto"/>
              <w:jc w:val="center"/>
              <w:rPr>
                <w:b/>
              </w:rPr>
            </w:pPr>
            <w:r w:rsidRPr="008E5290">
              <w:rPr>
                <w:b/>
              </w:rPr>
              <w:t>Programa Başlayacak Öğrenci Sayıları</w:t>
            </w:r>
          </w:p>
        </w:tc>
        <w:tc>
          <w:tcPr>
            <w:tcW w:w="2247" w:type="dxa"/>
            <w:vMerge w:val="restart"/>
            <w:vAlign w:val="center"/>
          </w:tcPr>
          <w:p w:rsidR="000614F1" w:rsidRPr="008E5290" w:rsidRDefault="000614F1" w:rsidP="00083F48">
            <w:pPr>
              <w:spacing w:line="360" w:lineRule="auto"/>
              <w:jc w:val="center"/>
              <w:rPr>
                <w:b/>
              </w:rPr>
            </w:pPr>
            <w:r w:rsidRPr="008E5290">
              <w:rPr>
                <w:b/>
              </w:rPr>
              <w:t>Toplam Öğrenci Sayısı</w:t>
            </w:r>
          </w:p>
        </w:tc>
      </w:tr>
      <w:tr w:rsidR="000614F1" w:rsidRPr="008E5290" w:rsidTr="00083F48">
        <w:trPr>
          <w:trHeight w:val="209"/>
          <w:jc w:val="center"/>
        </w:trPr>
        <w:tc>
          <w:tcPr>
            <w:tcW w:w="2246" w:type="dxa"/>
            <w:vMerge/>
            <w:vAlign w:val="center"/>
          </w:tcPr>
          <w:p w:rsidR="000614F1" w:rsidRPr="008E5290" w:rsidRDefault="000614F1" w:rsidP="00083F48">
            <w:pPr>
              <w:spacing w:line="360" w:lineRule="auto"/>
              <w:rPr>
                <w:b/>
              </w:rPr>
            </w:pPr>
          </w:p>
        </w:tc>
        <w:tc>
          <w:tcPr>
            <w:tcW w:w="2247" w:type="dxa"/>
            <w:vAlign w:val="center"/>
          </w:tcPr>
          <w:p w:rsidR="000614F1" w:rsidRPr="008E5290" w:rsidRDefault="000614F1" w:rsidP="00083F48">
            <w:pPr>
              <w:spacing w:line="360" w:lineRule="auto"/>
              <w:jc w:val="center"/>
              <w:rPr>
                <w:b/>
              </w:rPr>
            </w:pPr>
            <w:r w:rsidRPr="008E5290">
              <w:rPr>
                <w:b/>
              </w:rPr>
              <w:t>Güz</w:t>
            </w:r>
          </w:p>
        </w:tc>
        <w:tc>
          <w:tcPr>
            <w:tcW w:w="2247" w:type="dxa"/>
            <w:vAlign w:val="center"/>
          </w:tcPr>
          <w:p w:rsidR="000614F1" w:rsidRPr="008E5290" w:rsidRDefault="000614F1" w:rsidP="00083F48">
            <w:pPr>
              <w:spacing w:line="360" w:lineRule="auto"/>
              <w:jc w:val="center"/>
              <w:rPr>
                <w:b/>
              </w:rPr>
            </w:pPr>
            <w:r w:rsidRPr="008E5290">
              <w:rPr>
                <w:b/>
              </w:rPr>
              <w:t>Bahar</w:t>
            </w:r>
          </w:p>
        </w:tc>
        <w:tc>
          <w:tcPr>
            <w:tcW w:w="2247" w:type="dxa"/>
            <w:vMerge/>
            <w:vAlign w:val="center"/>
          </w:tcPr>
          <w:p w:rsidR="000614F1" w:rsidRPr="008E5290" w:rsidRDefault="000614F1" w:rsidP="00083F48">
            <w:pPr>
              <w:spacing w:line="360" w:lineRule="auto"/>
              <w:rPr>
                <w:b/>
              </w:rPr>
            </w:pPr>
          </w:p>
        </w:tc>
      </w:tr>
      <w:tr w:rsidR="000614F1" w:rsidRPr="008E5290" w:rsidTr="00083F48">
        <w:trPr>
          <w:trHeight w:val="348"/>
          <w:jc w:val="center"/>
        </w:trPr>
        <w:tc>
          <w:tcPr>
            <w:tcW w:w="2246" w:type="dxa"/>
            <w:vAlign w:val="center"/>
          </w:tcPr>
          <w:p w:rsidR="000614F1" w:rsidRPr="008E5290" w:rsidRDefault="000614F1" w:rsidP="00083F48">
            <w:pPr>
              <w:pStyle w:val="Default"/>
              <w:spacing w:line="360" w:lineRule="auto"/>
              <w:jc w:val="center"/>
              <w:rPr>
                <w:color w:val="auto"/>
              </w:rPr>
            </w:pPr>
            <w:r w:rsidRPr="008E5290">
              <w:rPr>
                <w:color w:val="auto"/>
              </w:rPr>
              <w:t>1. Yıl</w:t>
            </w:r>
          </w:p>
        </w:tc>
        <w:tc>
          <w:tcPr>
            <w:tcW w:w="2247" w:type="dxa"/>
            <w:vAlign w:val="center"/>
          </w:tcPr>
          <w:p w:rsidR="000614F1" w:rsidRPr="008E5290" w:rsidRDefault="000614F1" w:rsidP="00083F48">
            <w:pPr>
              <w:spacing w:line="360" w:lineRule="auto"/>
              <w:jc w:val="center"/>
            </w:pPr>
            <w:r w:rsidRPr="008E5290">
              <w:t>14</w:t>
            </w:r>
          </w:p>
        </w:tc>
        <w:tc>
          <w:tcPr>
            <w:tcW w:w="2247" w:type="dxa"/>
            <w:vAlign w:val="center"/>
          </w:tcPr>
          <w:p w:rsidR="000614F1" w:rsidRPr="008E5290" w:rsidRDefault="000614F1" w:rsidP="00083F48">
            <w:pPr>
              <w:spacing w:line="360" w:lineRule="auto"/>
              <w:jc w:val="center"/>
            </w:pPr>
            <w:r w:rsidRPr="008E5290">
              <w:t>-</w:t>
            </w:r>
          </w:p>
        </w:tc>
        <w:tc>
          <w:tcPr>
            <w:tcW w:w="2247" w:type="dxa"/>
            <w:vAlign w:val="center"/>
          </w:tcPr>
          <w:p w:rsidR="000614F1" w:rsidRPr="008E5290" w:rsidRDefault="000614F1" w:rsidP="00083F48">
            <w:pPr>
              <w:spacing w:line="360" w:lineRule="auto"/>
              <w:jc w:val="center"/>
            </w:pPr>
            <w:r w:rsidRPr="008E5290">
              <w:t>14</w:t>
            </w:r>
          </w:p>
        </w:tc>
      </w:tr>
      <w:tr w:rsidR="000614F1" w:rsidRPr="008E5290" w:rsidTr="00083F48">
        <w:trPr>
          <w:trHeight w:val="369"/>
          <w:jc w:val="center"/>
        </w:trPr>
        <w:tc>
          <w:tcPr>
            <w:tcW w:w="2246" w:type="dxa"/>
            <w:vAlign w:val="center"/>
          </w:tcPr>
          <w:p w:rsidR="000614F1" w:rsidRPr="008E5290" w:rsidRDefault="000614F1" w:rsidP="00083F48">
            <w:pPr>
              <w:pStyle w:val="Default"/>
              <w:spacing w:line="360" w:lineRule="auto"/>
              <w:jc w:val="center"/>
              <w:rPr>
                <w:color w:val="auto"/>
              </w:rPr>
            </w:pPr>
            <w:r w:rsidRPr="008E5290">
              <w:rPr>
                <w:color w:val="auto"/>
              </w:rPr>
              <w:t>2. Yıl</w:t>
            </w:r>
          </w:p>
        </w:tc>
        <w:tc>
          <w:tcPr>
            <w:tcW w:w="2247" w:type="dxa"/>
          </w:tcPr>
          <w:p w:rsidR="000614F1" w:rsidRPr="008E5290" w:rsidRDefault="000614F1" w:rsidP="00083F48">
            <w:pPr>
              <w:spacing w:line="360" w:lineRule="auto"/>
              <w:jc w:val="center"/>
            </w:pPr>
            <w:r w:rsidRPr="008E5290">
              <w:t>14</w:t>
            </w:r>
          </w:p>
        </w:tc>
        <w:tc>
          <w:tcPr>
            <w:tcW w:w="2247" w:type="dxa"/>
            <w:vAlign w:val="center"/>
          </w:tcPr>
          <w:p w:rsidR="000614F1" w:rsidRPr="008E5290" w:rsidRDefault="000614F1" w:rsidP="00083F48">
            <w:pPr>
              <w:spacing w:line="360" w:lineRule="auto"/>
              <w:jc w:val="center"/>
            </w:pPr>
            <w:r w:rsidRPr="008E5290">
              <w:t>-</w:t>
            </w:r>
          </w:p>
        </w:tc>
        <w:tc>
          <w:tcPr>
            <w:tcW w:w="2247" w:type="dxa"/>
          </w:tcPr>
          <w:p w:rsidR="000614F1" w:rsidRPr="008E5290" w:rsidRDefault="000614F1" w:rsidP="00083F48">
            <w:pPr>
              <w:spacing w:line="360" w:lineRule="auto"/>
              <w:jc w:val="center"/>
            </w:pPr>
            <w:r w:rsidRPr="008E5290">
              <w:t>14</w:t>
            </w:r>
          </w:p>
        </w:tc>
      </w:tr>
      <w:tr w:rsidR="000614F1" w:rsidRPr="008E5290" w:rsidTr="00083F48">
        <w:trPr>
          <w:trHeight w:val="369"/>
          <w:jc w:val="center"/>
        </w:trPr>
        <w:tc>
          <w:tcPr>
            <w:tcW w:w="2246" w:type="dxa"/>
            <w:vAlign w:val="center"/>
          </w:tcPr>
          <w:p w:rsidR="000614F1" w:rsidRPr="008E5290" w:rsidRDefault="000614F1" w:rsidP="00083F48">
            <w:pPr>
              <w:pStyle w:val="Default"/>
              <w:spacing w:line="360" w:lineRule="auto"/>
              <w:jc w:val="center"/>
              <w:rPr>
                <w:color w:val="auto"/>
              </w:rPr>
            </w:pPr>
            <w:r w:rsidRPr="008E5290">
              <w:rPr>
                <w:color w:val="auto"/>
              </w:rPr>
              <w:t>3. Yıl</w:t>
            </w:r>
          </w:p>
        </w:tc>
        <w:tc>
          <w:tcPr>
            <w:tcW w:w="2247" w:type="dxa"/>
          </w:tcPr>
          <w:p w:rsidR="000614F1" w:rsidRPr="008E5290" w:rsidRDefault="000614F1" w:rsidP="00083F48">
            <w:pPr>
              <w:spacing w:line="360" w:lineRule="auto"/>
              <w:jc w:val="center"/>
            </w:pPr>
            <w:r w:rsidRPr="008E5290">
              <w:t>14</w:t>
            </w:r>
          </w:p>
        </w:tc>
        <w:tc>
          <w:tcPr>
            <w:tcW w:w="2247" w:type="dxa"/>
            <w:vAlign w:val="center"/>
          </w:tcPr>
          <w:p w:rsidR="000614F1" w:rsidRPr="008E5290" w:rsidRDefault="000614F1" w:rsidP="00083F48">
            <w:pPr>
              <w:spacing w:line="360" w:lineRule="auto"/>
              <w:jc w:val="center"/>
            </w:pPr>
            <w:r w:rsidRPr="008E5290">
              <w:t>-</w:t>
            </w:r>
          </w:p>
        </w:tc>
        <w:tc>
          <w:tcPr>
            <w:tcW w:w="2247" w:type="dxa"/>
          </w:tcPr>
          <w:p w:rsidR="000614F1" w:rsidRPr="008E5290" w:rsidRDefault="000614F1" w:rsidP="00083F48">
            <w:pPr>
              <w:spacing w:line="360" w:lineRule="auto"/>
              <w:jc w:val="center"/>
            </w:pPr>
            <w:r w:rsidRPr="008E5290">
              <w:t>14</w:t>
            </w:r>
          </w:p>
        </w:tc>
      </w:tr>
      <w:tr w:rsidR="000614F1" w:rsidRPr="008E5290" w:rsidTr="00083F48">
        <w:trPr>
          <w:trHeight w:val="369"/>
          <w:jc w:val="center"/>
        </w:trPr>
        <w:tc>
          <w:tcPr>
            <w:tcW w:w="2246" w:type="dxa"/>
            <w:vAlign w:val="center"/>
          </w:tcPr>
          <w:p w:rsidR="000614F1" w:rsidRPr="008E5290" w:rsidRDefault="000614F1" w:rsidP="00083F48">
            <w:pPr>
              <w:pStyle w:val="Default"/>
              <w:spacing w:line="360" w:lineRule="auto"/>
              <w:jc w:val="center"/>
              <w:rPr>
                <w:color w:val="auto"/>
              </w:rPr>
            </w:pPr>
            <w:r w:rsidRPr="008E5290">
              <w:rPr>
                <w:color w:val="auto"/>
              </w:rPr>
              <w:t>4. Yıl</w:t>
            </w:r>
          </w:p>
        </w:tc>
        <w:tc>
          <w:tcPr>
            <w:tcW w:w="2247" w:type="dxa"/>
          </w:tcPr>
          <w:p w:rsidR="000614F1" w:rsidRPr="008E5290" w:rsidRDefault="000614F1" w:rsidP="00083F48">
            <w:pPr>
              <w:spacing w:line="360" w:lineRule="auto"/>
              <w:jc w:val="center"/>
            </w:pPr>
            <w:r w:rsidRPr="008E5290">
              <w:t>14</w:t>
            </w:r>
          </w:p>
        </w:tc>
        <w:tc>
          <w:tcPr>
            <w:tcW w:w="2247" w:type="dxa"/>
            <w:vAlign w:val="center"/>
          </w:tcPr>
          <w:p w:rsidR="000614F1" w:rsidRPr="008E5290" w:rsidRDefault="000614F1" w:rsidP="00083F48">
            <w:pPr>
              <w:spacing w:line="360" w:lineRule="auto"/>
              <w:jc w:val="center"/>
            </w:pPr>
            <w:r w:rsidRPr="008E5290">
              <w:t>-</w:t>
            </w:r>
          </w:p>
        </w:tc>
        <w:tc>
          <w:tcPr>
            <w:tcW w:w="2247" w:type="dxa"/>
          </w:tcPr>
          <w:p w:rsidR="000614F1" w:rsidRPr="008E5290" w:rsidRDefault="000614F1" w:rsidP="00083F48">
            <w:pPr>
              <w:spacing w:line="360" w:lineRule="auto"/>
              <w:jc w:val="center"/>
            </w:pPr>
            <w:r w:rsidRPr="008E5290">
              <w:t>14</w:t>
            </w:r>
          </w:p>
        </w:tc>
      </w:tr>
      <w:tr w:rsidR="000614F1" w:rsidRPr="008E5290" w:rsidTr="00083F48">
        <w:trPr>
          <w:trHeight w:val="391"/>
          <w:jc w:val="center"/>
        </w:trPr>
        <w:tc>
          <w:tcPr>
            <w:tcW w:w="2246" w:type="dxa"/>
            <w:vAlign w:val="center"/>
          </w:tcPr>
          <w:p w:rsidR="000614F1" w:rsidRPr="008E5290" w:rsidRDefault="000614F1" w:rsidP="00083F48">
            <w:pPr>
              <w:spacing w:line="360" w:lineRule="auto"/>
              <w:jc w:val="center"/>
              <w:rPr>
                <w:b/>
              </w:rPr>
            </w:pPr>
            <w:r w:rsidRPr="008E5290">
              <w:rPr>
                <w:b/>
              </w:rPr>
              <w:t>Genel Toplam</w:t>
            </w:r>
          </w:p>
        </w:tc>
        <w:tc>
          <w:tcPr>
            <w:tcW w:w="2247" w:type="dxa"/>
            <w:vAlign w:val="center"/>
          </w:tcPr>
          <w:p w:rsidR="000614F1" w:rsidRPr="008E5290" w:rsidRDefault="000614F1" w:rsidP="00083F48">
            <w:pPr>
              <w:spacing w:line="360" w:lineRule="auto"/>
              <w:jc w:val="center"/>
              <w:rPr>
                <w:b/>
              </w:rPr>
            </w:pPr>
            <w:r w:rsidRPr="008E5290">
              <w:rPr>
                <w:b/>
              </w:rPr>
              <w:t>56</w:t>
            </w:r>
          </w:p>
        </w:tc>
        <w:tc>
          <w:tcPr>
            <w:tcW w:w="2247" w:type="dxa"/>
            <w:vAlign w:val="center"/>
          </w:tcPr>
          <w:p w:rsidR="000614F1" w:rsidRPr="008E5290" w:rsidRDefault="000614F1" w:rsidP="00083F48">
            <w:pPr>
              <w:spacing w:line="360" w:lineRule="auto"/>
              <w:jc w:val="center"/>
              <w:rPr>
                <w:b/>
              </w:rPr>
            </w:pPr>
            <w:r w:rsidRPr="008E5290">
              <w:rPr>
                <w:b/>
              </w:rPr>
              <w:t>-</w:t>
            </w:r>
          </w:p>
        </w:tc>
        <w:tc>
          <w:tcPr>
            <w:tcW w:w="2247" w:type="dxa"/>
            <w:vAlign w:val="center"/>
          </w:tcPr>
          <w:p w:rsidR="000614F1" w:rsidRPr="008E5290" w:rsidRDefault="000614F1" w:rsidP="00083F48">
            <w:pPr>
              <w:spacing w:line="360" w:lineRule="auto"/>
              <w:jc w:val="center"/>
              <w:rPr>
                <w:b/>
              </w:rPr>
            </w:pPr>
            <w:r w:rsidRPr="008E5290">
              <w:rPr>
                <w:b/>
              </w:rPr>
              <w:t>56</w:t>
            </w:r>
          </w:p>
        </w:tc>
      </w:tr>
    </w:tbl>
    <w:p w:rsidR="000614F1" w:rsidRPr="008E5290" w:rsidRDefault="000614F1" w:rsidP="000614F1">
      <w:pPr>
        <w:tabs>
          <w:tab w:val="left" w:pos="851"/>
          <w:tab w:val="left" w:pos="993"/>
        </w:tabs>
        <w:spacing w:line="360" w:lineRule="auto"/>
        <w:jc w:val="both"/>
      </w:pPr>
    </w:p>
    <w:p w:rsidR="000614F1" w:rsidRPr="008E5290" w:rsidRDefault="000614F1" w:rsidP="000614F1">
      <w:pPr>
        <w:pStyle w:val="Balk2"/>
        <w:spacing w:line="360" w:lineRule="auto"/>
        <w:rPr>
          <w:szCs w:val="24"/>
        </w:rPr>
      </w:pPr>
      <w:bookmarkStart w:id="7" w:name="_Toc2279432"/>
      <w:r w:rsidRPr="008E5290">
        <w:rPr>
          <w:szCs w:val="24"/>
        </w:rPr>
        <w:t>7. Önerilen Programa Öğrenci Kabul Koşulları</w:t>
      </w:r>
      <w:bookmarkEnd w:id="7"/>
    </w:p>
    <w:p w:rsidR="000614F1" w:rsidRPr="008E5290" w:rsidRDefault="000614F1" w:rsidP="000614F1">
      <w:pPr>
        <w:tabs>
          <w:tab w:val="left" w:pos="851"/>
          <w:tab w:val="left" w:pos="993"/>
        </w:tabs>
        <w:spacing w:line="360" w:lineRule="auto"/>
        <w:jc w:val="both"/>
      </w:pPr>
      <w:r w:rsidRPr="008E5290">
        <w:t xml:space="preserve">Programa başvuracak adayların Niğde Ömer </w:t>
      </w:r>
      <w:proofErr w:type="spellStart"/>
      <w:r w:rsidRPr="008E5290">
        <w:t>Halisdemir</w:t>
      </w:r>
      <w:proofErr w:type="spellEnd"/>
      <w:r w:rsidRPr="008E5290">
        <w:t xml:space="preserve"> Üniversitesi Lisansüstü Eğitim - Öğretim ve Sınav Yönetmeliği’nde belirtilen koşulları sağlaması gerekmektedir.</w:t>
      </w:r>
      <w:r>
        <w:t xml:space="preserve"> </w:t>
      </w:r>
      <w:r w:rsidRPr="008E5290">
        <w:t xml:space="preserve">Kabul koşullarına Türkiye Yükseköğretim Kurulu’nun belirlediği yönetmeliklere uygun olarak karar verilmektedir. Yüksek lisans programlarına başvuru ve kabul için gerekli koşullar hakkındaki bilgi, her akademik yılın başında üniversitenin web sayfasında duyurulur. Aşağıdaki koşullar hem Türk hem de yabancı uyruklu öğrenciler için geçerlidir: </w:t>
      </w:r>
    </w:p>
    <w:p w:rsidR="000614F1" w:rsidRPr="008E5290" w:rsidRDefault="000614F1" w:rsidP="000614F1">
      <w:pPr>
        <w:pStyle w:val="Default"/>
        <w:numPr>
          <w:ilvl w:val="0"/>
          <w:numId w:val="5"/>
        </w:numPr>
        <w:spacing w:line="360" w:lineRule="auto"/>
        <w:jc w:val="both"/>
        <w:rPr>
          <w:color w:val="auto"/>
        </w:rPr>
      </w:pPr>
      <w:r>
        <w:rPr>
          <w:color w:val="auto"/>
        </w:rPr>
        <w:t xml:space="preserve">Spor Bilimleri Fakülteleri, </w:t>
      </w:r>
      <w:r w:rsidRPr="008E5290">
        <w:rPr>
          <w:color w:val="auto"/>
        </w:rPr>
        <w:t>Beden Eğitimi ve Spor, Spor Bilimleri ve Teknol</w:t>
      </w:r>
      <w:r>
        <w:rPr>
          <w:color w:val="auto"/>
        </w:rPr>
        <w:t>ojisi Yüksekokulları ve Eğitim F</w:t>
      </w:r>
      <w:r w:rsidRPr="008E5290">
        <w:rPr>
          <w:color w:val="auto"/>
        </w:rPr>
        <w:t>akültelerinin Beden Eğitimi ve Spor Öğretmenliği Bölümleri lisans derecesi sahibi olmak,</w:t>
      </w:r>
    </w:p>
    <w:p w:rsidR="000614F1" w:rsidRPr="00B35341" w:rsidRDefault="000614F1" w:rsidP="000614F1">
      <w:pPr>
        <w:pStyle w:val="Default"/>
        <w:numPr>
          <w:ilvl w:val="0"/>
          <w:numId w:val="5"/>
        </w:numPr>
        <w:spacing w:line="360" w:lineRule="auto"/>
        <w:jc w:val="both"/>
        <w:rPr>
          <w:color w:val="auto"/>
        </w:rPr>
      </w:pPr>
      <w:r w:rsidRPr="008E5290">
        <w:rPr>
          <w:color w:val="auto"/>
        </w:rPr>
        <w:t>Akademik Personel ve Lisansüst</w:t>
      </w:r>
      <w:r>
        <w:rPr>
          <w:color w:val="auto"/>
        </w:rPr>
        <w:t>ü Eğitimi Giriş Sınavının (</w:t>
      </w:r>
      <w:r w:rsidRPr="008E5290">
        <w:rPr>
          <w:color w:val="auto"/>
        </w:rPr>
        <w:t>ALES</w:t>
      </w:r>
      <w:r>
        <w:rPr>
          <w:color w:val="auto"/>
        </w:rPr>
        <w:t xml:space="preserve">) </w:t>
      </w:r>
      <w:proofErr w:type="spellStart"/>
      <w:r>
        <w:rPr>
          <w:color w:val="auto"/>
        </w:rPr>
        <w:t>herhangibirinden</w:t>
      </w:r>
      <w:proofErr w:type="spellEnd"/>
      <w:r>
        <w:rPr>
          <w:color w:val="auto"/>
        </w:rPr>
        <w:t xml:space="preserve"> (EA, SAY, SÖZ) en az 60</w:t>
      </w:r>
      <w:r w:rsidRPr="008E5290">
        <w:rPr>
          <w:color w:val="auto"/>
        </w:rPr>
        <w:t xml:space="preserve"> puan (veya eşdeğeri) almış olmak,</w:t>
      </w:r>
      <w:r w:rsidRPr="00B35341">
        <w:rPr>
          <w:color w:val="auto"/>
        </w:rPr>
        <w:t xml:space="preserve"> </w:t>
      </w:r>
      <w:r>
        <w:rPr>
          <w:color w:val="auto"/>
        </w:rPr>
        <w:t xml:space="preserve">(Yabancı Uyruklu Öğrencilerde </w:t>
      </w:r>
      <w:proofErr w:type="spellStart"/>
      <w:r>
        <w:rPr>
          <w:color w:val="auto"/>
        </w:rPr>
        <w:t>Ales</w:t>
      </w:r>
      <w:proofErr w:type="spellEnd"/>
      <w:r>
        <w:rPr>
          <w:color w:val="auto"/>
        </w:rPr>
        <w:t xml:space="preserve"> Puanı aranmaz.)</w:t>
      </w:r>
    </w:p>
    <w:p w:rsidR="000614F1" w:rsidRPr="008E5290" w:rsidRDefault="000614F1" w:rsidP="000614F1">
      <w:pPr>
        <w:pStyle w:val="Default"/>
        <w:numPr>
          <w:ilvl w:val="0"/>
          <w:numId w:val="5"/>
        </w:numPr>
        <w:spacing w:line="360" w:lineRule="auto"/>
        <w:jc w:val="both"/>
        <w:rPr>
          <w:color w:val="auto"/>
        </w:rPr>
      </w:pPr>
      <w:r>
        <w:t xml:space="preserve">Yükseköğretim Kurulu tarafından kabul edilen merkezi yabancı dil sınavları ile eşdeğerliliği kabul edilen uluslararası yabancı dil sınavları veya Ölçme, Seçme ve Yerleştirme Merkezi Başkanlığı (ÖSYM) tarafından eşdeğerliği kabul edilen uluslararası yabancı dil sınavlarından puan almış olmak. </w:t>
      </w:r>
      <w:r w:rsidRPr="008E5290">
        <w:rPr>
          <w:color w:val="auto"/>
        </w:rPr>
        <w:t>Yabancı dil yeterliliği olmayan öğrenciler</w:t>
      </w:r>
      <w:r>
        <w:rPr>
          <w:color w:val="auto"/>
        </w:rPr>
        <w:t>de</w:t>
      </w:r>
      <w:r w:rsidRPr="008E5290">
        <w:rPr>
          <w:color w:val="auto"/>
        </w:rPr>
        <w:t xml:space="preserve"> başvuruda bulunabilir ancak</w:t>
      </w:r>
      <w:r>
        <w:rPr>
          <w:color w:val="auto"/>
        </w:rPr>
        <w:t>;</w:t>
      </w:r>
      <w:r w:rsidRPr="008E5290">
        <w:rPr>
          <w:color w:val="auto"/>
        </w:rPr>
        <w:t xml:space="preserve"> bu alandaki puanları 0 olarak değerlendirilecektir. </w:t>
      </w:r>
    </w:p>
    <w:p w:rsidR="000614F1" w:rsidRPr="008E5290" w:rsidRDefault="000614F1" w:rsidP="000614F1">
      <w:pPr>
        <w:pStyle w:val="Default"/>
        <w:numPr>
          <w:ilvl w:val="0"/>
          <w:numId w:val="5"/>
        </w:numPr>
        <w:spacing w:line="360" w:lineRule="auto"/>
        <w:jc w:val="both"/>
        <w:rPr>
          <w:color w:val="auto"/>
        </w:rPr>
      </w:pPr>
      <w:r w:rsidRPr="008E5290">
        <w:rPr>
          <w:color w:val="auto"/>
        </w:rPr>
        <w:t xml:space="preserve">Yurtdışında Lisans Derecesi almış adayların, Yükseköğretim Kurulu’ndan denklik belgesi almaları gerekmektedir. </w:t>
      </w:r>
    </w:p>
    <w:p w:rsidR="000614F1" w:rsidRPr="008E5290" w:rsidRDefault="000614F1" w:rsidP="000614F1">
      <w:pPr>
        <w:pStyle w:val="Default"/>
        <w:numPr>
          <w:ilvl w:val="0"/>
          <w:numId w:val="5"/>
        </w:numPr>
        <w:spacing w:line="360" w:lineRule="auto"/>
        <w:jc w:val="both"/>
        <w:rPr>
          <w:color w:val="auto"/>
        </w:rPr>
      </w:pPr>
      <w:r>
        <w:rPr>
          <w:color w:val="auto"/>
        </w:rPr>
        <w:t>ALES puanının geçerlilik süresinin belirlenmesinde YÖK’ün belirlediği süre esas alınır</w:t>
      </w:r>
      <w:r w:rsidRPr="008E5290">
        <w:rPr>
          <w:color w:val="auto"/>
        </w:rPr>
        <w:t xml:space="preserve">. </w:t>
      </w:r>
    </w:p>
    <w:p w:rsidR="000614F1" w:rsidRPr="008E5290" w:rsidRDefault="000614F1" w:rsidP="000614F1">
      <w:pPr>
        <w:pStyle w:val="Default"/>
        <w:numPr>
          <w:ilvl w:val="0"/>
          <w:numId w:val="5"/>
        </w:numPr>
        <w:spacing w:line="360" w:lineRule="auto"/>
        <w:jc w:val="both"/>
        <w:rPr>
          <w:color w:val="auto"/>
        </w:rPr>
      </w:pPr>
      <w:r w:rsidRPr="008E5290">
        <w:rPr>
          <w:color w:val="auto"/>
        </w:rPr>
        <w:lastRenderedPageBreak/>
        <w:t xml:space="preserve">Adayların </w:t>
      </w:r>
      <w:r>
        <w:rPr>
          <w:color w:val="auto"/>
        </w:rPr>
        <w:t xml:space="preserve">Enstitüye </w:t>
      </w:r>
      <w:r w:rsidRPr="008E5290">
        <w:rPr>
          <w:color w:val="auto"/>
        </w:rPr>
        <w:t xml:space="preserve">başvurması gerekmektedir. Eksik evrakla yapılan başvurular değerlendirilmeyecektir. </w:t>
      </w:r>
    </w:p>
    <w:p w:rsidR="00956048" w:rsidRDefault="00956048"/>
    <w:sectPr w:rsidR="00956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D8"/>
    <w:multiLevelType w:val="hybridMultilevel"/>
    <w:tmpl w:val="E4981C4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F824D2"/>
    <w:multiLevelType w:val="hybridMultilevel"/>
    <w:tmpl w:val="92BCD3A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090489"/>
    <w:multiLevelType w:val="hybridMultilevel"/>
    <w:tmpl w:val="E456679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584567"/>
    <w:multiLevelType w:val="hybridMultilevel"/>
    <w:tmpl w:val="9AE26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174D73"/>
    <w:multiLevelType w:val="hybridMultilevel"/>
    <w:tmpl w:val="320C5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175B84"/>
    <w:multiLevelType w:val="hybridMultilevel"/>
    <w:tmpl w:val="4970C52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17"/>
    <w:rsid w:val="000614F1"/>
    <w:rsid w:val="00956048"/>
    <w:rsid w:val="00B71617"/>
    <w:rsid w:val="00F27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1FBB"/>
  <w15:chartTrackingRefBased/>
  <w15:docId w15:val="{12309CE2-F413-49D1-8729-13B8EFC7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279AC"/>
    <w:pPr>
      <w:keepNext/>
      <w:jc w:val="both"/>
      <w:outlineLvl w:val="0"/>
    </w:pPr>
    <w:rPr>
      <w:b/>
      <w:bCs/>
      <w:kern w:val="32"/>
      <w:szCs w:val="32"/>
      <w:lang w:val="x-none" w:eastAsia="x-none"/>
    </w:rPr>
  </w:style>
  <w:style w:type="paragraph" w:styleId="Balk2">
    <w:name w:val="heading 2"/>
    <w:basedOn w:val="Normal"/>
    <w:next w:val="Normal"/>
    <w:link w:val="Balk2Char"/>
    <w:unhideWhenUsed/>
    <w:qFormat/>
    <w:rsid w:val="00F279AC"/>
    <w:pPr>
      <w:keepNext/>
      <w:outlineLvl w:val="1"/>
    </w:pPr>
    <w:rPr>
      <w:b/>
      <w:bCs/>
      <w:iCs/>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79AC"/>
    <w:rPr>
      <w:rFonts w:ascii="Times New Roman" w:eastAsia="Times New Roman" w:hAnsi="Times New Roman" w:cs="Times New Roman"/>
      <w:b/>
      <w:bCs/>
      <w:kern w:val="32"/>
      <w:sz w:val="24"/>
      <w:szCs w:val="32"/>
      <w:lang w:val="x-none" w:eastAsia="x-none"/>
    </w:rPr>
  </w:style>
  <w:style w:type="character" w:customStyle="1" w:styleId="Balk2Char">
    <w:name w:val="Başlık 2 Char"/>
    <w:basedOn w:val="VarsaylanParagrafYazTipi"/>
    <w:link w:val="Balk2"/>
    <w:rsid w:val="00F279AC"/>
    <w:rPr>
      <w:rFonts w:ascii="Times New Roman" w:eastAsia="Times New Roman" w:hAnsi="Times New Roman" w:cs="Times New Roman"/>
      <w:b/>
      <w:bCs/>
      <w:iCs/>
      <w:sz w:val="24"/>
      <w:szCs w:val="28"/>
      <w:lang w:val="x-none" w:eastAsia="x-none"/>
    </w:rPr>
  </w:style>
  <w:style w:type="paragraph" w:customStyle="1" w:styleId="Default">
    <w:name w:val="Default"/>
    <w:rsid w:val="00F279A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uiPriority w:val="39"/>
    <w:rsid w:val="0006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0614F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5442</Characters>
  <Application>Microsoft Office Word</Application>
  <DocSecurity>0</DocSecurity>
  <Lines>45</Lines>
  <Paragraphs>12</Paragraphs>
  <ScaleCrop>false</ScaleCrop>
  <Company>HP Inc.</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2020-03-11T05:10:00Z</dcterms:created>
  <dcterms:modified xsi:type="dcterms:W3CDTF">2020-03-11T05:20:00Z</dcterms:modified>
</cp:coreProperties>
</file>