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638" w:type="dxa"/>
        <w:jc w:val="center"/>
        <w:tblLook w:val="04A0" w:firstRow="1" w:lastRow="0" w:firstColumn="1" w:lastColumn="0" w:noHBand="0" w:noVBand="1"/>
      </w:tblPr>
      <w:tblGrid>
        <w:gridCol w:w="2971"/>
        <w:gridCol w:w="2692"/>
        <w:gridCol w:w="1749"/>
        <w:gridCol w:w="2506"/>
        <w:gridCol w:w="1749"/>
        <w:gridCol w:w="2220"/>
        <w:gridCol w:w="1751"/>
      </w:tblGrid>
      <w:tr w:rsidR="00A84DCB" w:rsidRPr="00CA3F3B" w:rsidTr="000377A3">
        <w:trPr>
          <w:jc w:val="center"/>
        </w:trPr>
        <w:tc>
          <w:tcPr>
            <w:tcW w:w="15638" w:type="dxa"/>
            <w:gridSpan w:val="7"/>
          </w:tcPr>
          <w:p w:rsidR="00A84DCB" w:rsidRPr="00CA3F3B" w:rsidRDefault="00A84DCB" w:rsidP="00A84DCB">
            <w:pPr>
              <w:ind w:firstLine="708"/>
              <w:jc w:val="center"/>
              <w:rPr>
                <w:sz w:val="22"/>
                <w:szCs w:val="22"/>
              </w:rPr>
            </w:pPr>
            <w:r w:rsidRPr="00CA3F3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95CC7CF" wp14:editId="676A074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019175" cy="819150"/>
                  <wp:effectExtent l="0" t="0" r="9525" b="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3F3B">
              <w:rPr>
                <w:b/>
                <w:sz w:val="22"/>
                <w:szCs w:val="22"/>
              </w:rPr>
              <w:t>T.C.</w:t>
            </w:r>
          </w:p>
          <w:p w:rsidR="00A84DCB" w:rsidRPr="00CA3F3B" w:rsidRDefault="00A84DCB" w:rsidP="00A84DCB">
            <w:pPr>
              <w:jc w:val="center"/>
              <w:rPr>
                <w:b/>
                <w:sz w:val="22"/>
                <w:szCs w:val="22"/>
              </w:rPr>
            </w:pPr>
            <w:r w:rsidRPr="00CA3F3B">
              <w:rPr>
                <w:b/>
                <w:sz w:val="22"/>
                <w:szCs w:val="22"/>
              </w:rPr>
              <w:t xml:space="preserve">NİĞDE ÖMER HALİSDEMİR ÜNİVERSİTESİ </w:t>
            </w:r>
          </w:p>
          <w:p w:rsidR="000377A3" w:rsidRPr="00CA3F3B" w:rsidRDefault="000377A3" w:rsidP="00A84DCB">
            <w:pPr>
              <w:jc w:val="center"/>
              <w:rPr>
                <w:b/>
                <w:sz w:val="22"/>
                <w:szCs w:val="22"/>
              </w:rPr>
            </w:pPr>
          </w:p>
          <w:p w:rsidR="00A84DCB" w:rsidRPr="00CA3F3B" w:rsidRDefault="00A84DCB" w:rsidP="00E5045D">
            <w:pPr>
              <w:ind w:left="567"/>
              <w:jc w:val="center"/>
              <w:rPr>
                <w:sz w:val="22"/>
                <w:szCs w:val="22"/>
              </w:rPr>
            </w:pPr>
            <w:r w:rsidRPr="00CA3F3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A5CF4F" wp14:editId="190F0376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-800100</wp:posOffset>
                      </wp:positionV>
                      <wp:extent cx="0" cy="342900"/>
                      <wp:effectExtent l="0" t="0" r="0" b="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88BFD" id="Düz Bağlayıcı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63pt" to="234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" stroked="f">
                      <v:stroke endarrow="block"/>
                    </v:line>
                  </w:pict>
                </mc:Fallback>
              </mc:AlternateContent>
            </w:r>
            <w:r w:rsidR="000377A3" w:rsidRPr="00CA3F3B">
              <w:rPr>
                <w:b/>
                <w:sz w:val="22"/>
                <w:szCs w:val="22"/>
              </w:rPr>
              <w:t>ARAÇ TANITIM PULU İST</w:t>
            </w:r>
            <w:r w:rsidR="00E5045D">
              <w:rPr>
                <w:b/>
                <w:sz w:val="22"/>
                <w:szCs w:val="22"/>
              </w:rPr>
              <w:t>E</w:t>
            </w:r>
            <w:r w:rsidR="000377A3" w:rsidRPr="00CA3F3B">
              <w:rPr>
                <w:b/>
                <w:sz w:val="22"/>
                <w:szCs w:val="22"/>
              </w:rPr>
              <w:t>K FORMU</w:t>
            </w:r>
          </w:p>
        </w:tc>
      </w:tr>
      <w:tr w:rsidR="000377A3" w:rsidRPr="00CA3F3B" w:rsidTr="000377A3">
        <w:trPr>
          <w:jc w:val="center"/>
        </w:trPr>
        <w:tc>
          <w:tcPr>
            <w:tcW w:w="2971" w:type="dxa"/>
          </w:tcPr>
          <w:p w:rsidR="000377A3" w:rsidRPr="00CA3F3B" w:rsidRDefault="006B6EFB" w:rsidP="006B6EFB">
            <w:pPr>
              <w:ind w:firstLine="22"/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ATP </w:t>
            </w:r>
            <w:r w:rsidR="000377A3" w:rsidRPr="00CA3F3B">
              <w:rPr>
                <w:b/>
                <w:noProof/>
                <w:sz w:val="22"/>
                <w:szCs w:val="22"/>
              </w:rPr>
              <w:t>Türü:</w:t>
            </w:r>
          </w:p>
        </w:tc>
        <w:tc>
          <w:tcPr>
            <w:tcW w:w="2692" w:type="dxa"/>
          </w:tcPr>
          <w:p w:rsidR="000377A3" w:rsidRPr="00CA3F3B" w:rsidRDefault="000377A3" w:rsidP="000377A3">
            <w:pPr>
              <w:jc w:val="both"/>
              <w:rPr>
                <w:b/>
                <w:noProof/>
                <w:sz w:val="22"/>
                <w:szCs w:val="22"/>
              </w:rPr>
            </w:pPr>
            <w:r w:rsidRPr="00CA3F3B">
              <w:rPr>
                <w:b/>
                <w:noProof/>
                <w:sz w:val="22"/>
                <w:szCs w:val="22"/>
              </w:rPr>
              <w:t>Personel Sicil No:</w:t>
            </w:r>
          </w:p>
        </w:tc>
        <w:tc>
          <w:tcPr>
            <w:tcW w:w="1749" w:type="dxa"/>
          </w:tcPr>
          <w:p w:rsidR="000377A3" w:rsidRPr="00CA3F3B" w:rsidRDefault="000377A3" w:rsidP="000377A3">
            <w:pPr>
              <w:ind w:firstLine="708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06" w:type="dxa"/>
          </w:tcPr>
          <w:p w:rsidR="000377A3" w:rsidRPr="00CA3F3B" w:rsidRDefault="000377A3" w:rsidP="000377A3">
            <w:pPr>
              <w:ind w:firstLine="121"/>
              <w:jc w:val="both"/>
              <w:rPr>
                <w:b/>
                <w:noProof/>
                <w:sz w:val="22"/>
                <w:szCs w:val="22"/>
              </w:rPr>
            </w:pPr>
            <w:r w:rsidRPr="00CA3F3B">
              <w:rPr>
                <w:b/>
                <w:noProof/>
                <w:sz w:val="22"/>
                <w:szCs w:val="22"/>
              </w:rPr>
              <w:t>Öğrenci No:</w:t>
            </w:r>
          </w:p>
        </w:tc>
        <w:tc>
          <w:tcPr>
            <w:tcW w:w="1749" w:type="dxa"/>
          </w:tcPr>
          <w:p w:rsidR="000377A3" w:rsidRPr="00CA3F3B" w:rsidRDefault="000377A3" w:rsidP="000377A3">
            <w:pPr>
              <w:ind w:firstLine="708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20" w:type="dxa"/>
          </w:tcPr>
          <w:p w:rsidR="000377A3" w:rsidRPr="00CA3F3B" w:rsidRDefault="000377A3" w:rsidP="000377A3">
            <w:pPr>
              <w:jc w:val="both"/>
              <w:rPr>
                <w:b/>
                <w:noProof/>
                <w:sz w:val="22"/>
                <w:szCs w:val="22"/>
              </w:rPr>
            </w:pPr>
            <w:r w:rsidRPr="00CA3F3B">
              <w:rPr>
                <w:b/>
                <w:noProof/>
                <w:sz w:val="22"/>
                <w:szCs w:val="22"/>
              </w:rPr>
              <w:t xml:space="preserve">Emekli </w:t>
            </w:r>
            <w:r w:rsidR="006B6EFB">
              <w:rPr>
                <w:b/>
                <w:noProof/>
                <w:sz w:val="22"/>
                <w:szCs w:val="22"/>
              </w:rPr>
              <w:t xml:space="preserve">Sicil </w:t>
            </w:r>
            <w:r w:rsidRPr="00CA3F3B">
              <w:rPr>
                <w:b/>
                <w:noProof/>
                <w:sz w:val="22"/>
                <w:szCs w:val="22"/>
              </w:rPr>
              <w:t>No:</w:t>
            </w:r>
          </w:p>
        </w:tc>
        <w:tc>
          <w:tcPr>
            <w:tcW w:w="1751" w:type="dxa"/>
          </w:tcPr>
          <w:p w:rsidR="000377A3" w:rsidRPr="00CA3F3B" w:rsidRDefault="000377A3" w:rsidP="000377A3">
            <w:pPr>
              <w:ind w:firstLine="708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0377A3" w:rsidRPr="00CA3F3B" w:rsidTr="000377A3">
        <w:trPr>
          <w:jc w:val="center"/>
        </w:trPr>
        <w:tc>
          <w:tcPr>
            <w:tcW w:w="2971" w:type="dxa"/>
          </w:tcPr>
          <w:p w:rsidR="000377A3" w:rsidRPr="00CA3F3B" w:rsidRDefault="000377A3" w:rsidP="000377A3">
            <w:pPr>
              <w:ind w:firstLine="22"/>
              <w:jc w:val="both"/>
              <w:rPr>
                <w:b/>
                <w:noProof/>
                <w:sz w:val="22"/>
                <w:szCs w:val="22"/>
              </w:rPr>
            </w:pPr>
            <w:r w:rsidRPr="00CA3F3B">
              <w:rPr>
                <w:b/>
                <w:noProof/>
                <w:sz w:val="22"/>
                <w:szCs w:val="22"/>
              </w:rPr>
              <w:t>Adı Soyadı</w:t>
            </w:r>
          </w:p>
        </w:tc>
        <w:tc>
          <w:tcPr>
            <w:tcW w:w="12667" w:type="dxa"/>
            <w:gridSpan w:val="6"/>
          </w:tcPr>
          <w:p w:rsidR="000377A3" w:rsidRPr="00CA3F3B" w:rsidRDefault="000377A3" w:rsidP="000377A3">
            <w:pPr>
              <w:ind w:firstLine="708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0377A3" w:rsidRPr="00CA3F3B" w:rsidTr="000377A3">
        <w:trPr>
          <w:jc w:val="center"/>
        </w:trPr>
        <w:tc>
          <w:tcPr>
            <w:tcW w:w="2971" w:type="dxa"/>
          </w:tcPr>
          <w:p w:rsidR="000377A3" w:rsidRPr="00CA3F3B" w:rsidRDefault="000377A3" w:rsidP="000377A3">
            <w:pPr>
              <w:ind w:firstLine="22"/>
              <w:jc w:val="both"/>
              <w:rPr>
                <w:b/>
                <w:noProof/>
                <w:sz w:val="22"/>
                <w:szCs w:val="22"/>
              </w:rPr>
            </w:pPr>
            <w:r w:rsidRPr="00CA3F3B">
              <w:rPr>
                <w:b/>
                <w:noProof/>
                <w:sz w:val="22"/>
                <w:szCs w:val="22"/>
              </w:rPr>
              <w:t>Ünvanı</w:t>
            </w:r>
          </w:p>
        </w:tc>
        <w:tc>
          <w:tcPr>
            <w:tcW w:w="12667" w:type="dxa"/>
            <w:gridSpan w:val="6"/>
          </w:tcPr>
          <w:p w:rsidR="000377A3" w:rsidRPr="00CA3F3B" w:rsidRDefault="000377A3" w:rsidP="000377A3">
            <w:pPr>
              <w:ind w:firstLine="708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0377A3" w:rsidRPr="00CA3F3B" w:rsidTr="000377A3">
        <w:trPr>
          <w:jc w:val="center"/>
        </w:trPr>
        <w:tc>
          <w:tcPr>
            <w:tcW w:w="2971" w:type="dxa"/>
          </w:tcPr>
          <w:p w:rsidR="000377A3" w:rsidRPr="00CA3F3B" w:rsidRDefault="000377A3" w:rsidP="000377A3">
            <w:pPr>
              <w:ind w:firstLine="22"/>
              <w:jc w:val="both"/>
              <w:rPr>
                <w:b/>
                <w:noProof/>
                <w:sz w:val="22"/>
                <w:szCs w:val="22"/>
              </w:rPr>
            </w:pPr>
            <w:r w:rsidRPr="00CA3F3B">
              <w:rPr>
                <w:b/>
                <w:noProof/>
                <w:sz w:val="22"/>
                <w:szCs w:val="22"/>
              </w:rPr>
              <w:t>Fakülte ve Bölümü/ Birimi</w:t>
            </w:r>
          </w:p>
        </w:tc>
        <w:tc>
          <w:tcPr>
            <w:tcW w:w="12667" w:type="dxa"/>
            <w:gridSpan w:val="6"/>
          </w:tcPr>
          <w:p w:rsidR="000377A3" w:rsidRPr="00CA3F3B" w:rsidRDefault="000377A3" w:rsidP="000377A3">
            <w:pPr>
              <w:ind w:firstLine="708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0377A3" w:rsidRPr="00CA3F3B" w:rsidTr="000377A3">
        <w:trPr>
          <w:jc w:val="center"/>
        </w:trPr>
        <w:tc>
          <w:tcPr>
            <w:tcW w:w="2971" w:type="dxa"/>
          </w:tcPr>
          <w:p w:rsidR="000377A3" w:rsidRPr="00CA3F3B" w:rsidRDefault="000377A3" w:rsidP="000377A3">
            <w:pPr>
              <w:ind w:firstLine="22"/>
              <w:jc w:val="both"/>
              <w:rPr>
                <w:b/>
                <w:noProof/>
                <w:sz w:val="22"/>
                <w:szCs w:val="22"/>
              </w:rPr>
            </w:pPr>
            <w:r w:rsidRPr="00CA3F3B">
              <w:rPr>
                <w:b/>
                <w:noProof/>
                <w:sz w:val="22"/>
                <w:szCs w:val="22"/>
              </w:rPr>
              <w:t>E-Posta Adresi</w:t>
            </w:r>
          </w:p>
        </w:tc>
        <w:tc>
          <w:tcPr>
            <w:tcW w:w="12667" w:type="dxa"/>
            <w:gridSpan w:val="6"/>
          </w:tcPr>
          <w:p w:rsidR="000377A3" w:rsidRPr="00CA3F3B" w:rsidRDefault="000377A3" w:rsidP="000377A3">
            <w:pPr>
              <w:ind w:firstLine="708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0377A3" w:rsidRPr="00CA3F3B" w:rsidTr="000377A3">
        <w:trPr>
          <w:jc w:val="center"/>
        </w:trPr>
        <w:tc>
          <w:tcPr>
            <w:tcW w:w="2971" w:type="dxa"/>
          </w:tcPr>
          <w:p w:rsidR="000377A3" w:rsidRPr="00CA3F3B" w:rsidRDefault="000377A3" w:rsidP="000377A3">
            <w:pPr>
              <w:ind w:firstLine="22"/>
              <w:jc w:val="both"/>
              <w:rPr>
                <w:b/>
                <w:noProof/>
                <w:sz w:val="22"/>
                <w:szCs w:val="22"/>
              </w:rPr>
            </w:pPr>
            <w:r w:rsidRPr="00CA3F3B">
              <w:rPr>
                <w:b/>
                <w:noProof/>
                <w:sz w:val="22"/>
                <w:szCs w:val="22"/>
              </w:rPr>
              <w:t>Araç Sahibi ile Yakınlığı</w:t>
            </w:r>
          </w:p>
        </w:tc>
        <w:tc>
          <w:tcPr>
            <w:tcW w:w="12667" w:type="dxa"/>
            <w:gridSpan w:val="6"/>
          </w:tcPr>
          <w:p w:rsidR="000377A3" w:rsidRPr="00CA3F3B" w:rsidRDefault="000377A3" w:rsidP="000377A3">
            <w:pPr>
              <w:ind w:firstLine="708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0377A3" w:rsidRPr="00CA3F3B" w:rsidTr="000377A3">
        <w:trPr>
          <w:jc w:val="center"/>
        </w:trPr>
        <w:tc>
          <w:tcPr>
            <w:tcW w:w="2971" w:type="dxa"/>
          </w:tcPr>
          <w:p w:rsidR="000377A3" w:rsidRPr="00CA3F3B" w:rsidRDefault="000377A3" w:rsidP="000377A3">
            <w:pPr>
              <w:ind w:firstLine="22"/>
              <w:jc w:val="both"/>
              <w:rPr>
                <w:b/>
                <w:noProof/>
                <w:sz w:val="22"/>
                <w:szCs w:val="22"/>
              </w:rPr>
            </w:pPr>
            <w:r w:rsidRPr="00CA3F3B">
              <w:rPr>
                <w:b/>
                <w:noProof/>
                <w:sz w:val="22"/>
                <w:szCs w:val="22"/>
              </w:rPr>
              <w:t>Telefon Numarası</w:t>
            </w:r>
          </w:p>
        </w:tc>
        <w:tc>
          <w:tcPr>
            <w:tcW w:w="12667" w:type="dxa"/>
            <w:gridSpan w:val="6"/>
          </w:tcPr>
          <w:p w:rsidR="000377A3" w:rsidRPr="00CA3F3B" w:rsidRDefault="000377A3" w:rsidP="000377A3">
            <w:pPr>
              <w:ind w:firstLine="708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0377A3" w:rsidRPr="00CA3F3B" w:rsidTr="000377A3">
        <w:trPr>
          <w:jc w:val="center"/>
        </w:trPr>
        <w:tc>
          <w:tcPr>
            <w:tcW w:w="2971" w:type="dxa"/>
          </w:tcPr>
          <w:p w:rsidR="000377A3" w:rsidRPr="00CA3F3B" w:rsidRDefault="000377A3" w:rsidP="007951E1">
            <w:pPr>
              <w:ind w:firstLine="22"/>
              <w:jc w:val="both"/>
              <w:rPr>
                <w:b/>
                <w:noProof/>
                <w:sz w:val="22"/>
                <w:szCs w:val="22"/>
              </w:rPr>
            </w:pPr>
            <w:r w:rsidRPr="00CA3F3B">
              <w:rPr>
                <w:b/>
                <w:noProof/>
                <w:sz w:val="22"/>
                <w:szCs w:val="22"/>
              </w:rPr>
              <w:t xml:space="preserve">Aracın </w:t>
            </w:r>
            <w:r w:rsidR="007951E1">
              <w:rPr>
                <w:b/>
                <w:noProof/>
                <w:sz w:val="22"/>
                <w:szCs w:val="22"/>
              </w:rPr>
              <w:t>Plaka Bilgisi</w:t>
            </w:r>
          </w:p>
        </w:tc>
        <w:tc>
          <w:tcPr>
            <w:tcW w:w="12667" w:type="dxa"/>
            <w:gridSpan w:val="6"/>
          </w:tcPr>
          <w:p w:rsidR="000377A3" w:rsidRPr="00CA3F3B" w:rsidRDefault="000377A3" w:rsidP="000377A3">
            <w:pPr>
              <w:ind w:firstLine="708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</w:tbl>
    <w:p w:rsidR="00CA3F3B" w:rsidRPr="00CA3F3B" w:rsidRDefault="000377A3" w:rsidP="000377A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A3F3B">
        <w:rPr>
          <w:b/>
          <w:sz w:val="22"/>
          <w:szCs w:val="22"/>
        </w:rPr>
        <w:t>ARAÇ TANITIM PULU İLE İLGİLİ ESASLAR</w:t>
      </w:r>
    </w:p>
    <w:tbl>
      <w:tblPr>
        <w:tblStyle w:val="TabloKlavuzu"/>
        <w:tblW w:w="15730" w:type="dxa"/>
        <w:jc w:val="center"/>
        <w:tblLook w:val="04A0" w:firstRow="1" w:lastRow="0" w:firstColumn="1" w:lastColumn="0" w:noHBand="0" w:noVBand="1"/>
      </w:tblPr>
      <w:tblGrid>
        <w:gridCol w:w="15730"/>
      </w:tblGrid>
      <w:tr w:rsidR="00CE2BD7" w:rsidRPr="00CE2BD7" w:rsidTr="00CA3F3B">
        <w:trPr>
          <w:jc w:val="center"/>
        </w:trPr>
        <w:tc>
          <w:tcPr>
            <w:tcW w:w="15730" w:type="dxa"/>
          </w:tcPr>
          <w:p w:rsidR="00CE2BD7" w:rsidRPr="00CE2BD7" w:rsidRDefault="00CE2BD7" w:rsidP="00CE2BD7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2BD7">
              <w:rPr>
                <w:rFonts w:eastAsia="Calibri"/>
                <w:sz w:val="22"/>
                <w:szCs w:val="22"/>
                <w:lang w:eastAsia="en-US"/>
              </w:rPr>
              <w:t xml:space="preserve">Niğde Ömer </w:t>
            </w:r>
            <w:proofErr w:type="spellStart"/>
            <w:r w:rsidRPr="00CE2BD7">
              <w:rPr>
                <w:rFonts w:eastAsia="Calibri"/>
                <w:sz w:val="22"/>
                <w:szCs w:val="22"/>
                <w:lang w:eastAsia="en-US"/>
              </w:rPr>
              <w:t>Halisdemir</w:t>
            </w:r>
            <w:proofErr w:type="spellEnd"/>
            <w:r w:rsidRPr="00CE2BD7">
              <w:rPr>
                <w:rFonts w:eastAsia="Calibri"/>
                <w:sz w:val="22"/>
                <w:szCs w:val="22"/>
                <w:lang w:eastAsia="en-US"/>
              </w:rPr>
              <w:t xml:space="preserve"> Üniversitesi T</w:t>
            </w:r>
            <w:r w:rsidR="0090404A">
              <w:rPr>
                <w:rFonts w:eastAsia="Calibri"/>
                <w:sz w:val="22"/>
                <w:szCs w:val="22"/>
                <w:lang w:eastAsia="en-US"/>
              </w:rPr>
              <w:t>r</w:t>
            </w:r>
            <w:r w:rsidRPr="00CE2BD7">
              <w:rPr>
                <w:rFonts w:eastAsia="Calibri"/>
                <w:sz w:val="22"/>
                <w:szCs w:val="22"/>
                <w:lang w:eastAsia="en-US"/>
              </w:rPr>
              <w:t xml:space="preserve">afik Yönergesine </w:t>
            </w:r>
            <w:hyperlink r:id="rId6" w:history="1">
              <w:r w:rsidRPr="002235A9">
                <w:rPr>
                  <w:rStyle w:val="Kpr"/>
                  <w:rFonts w:eastAsia="Calibri"/>
                  <w:color w:val="5B9BD5" w:themeColor="accent1"/>
                  <w:sz w:val="22"/>
                  <w:szCs w:val="22"/>
                  <w:lang w:eastAsia="en-US"/>
                </w:rPr>
                <w:t>https://www.ohu.edu.tr/genelsekreterlik/sayfa/yonergeler</w:t>
              </w:r>
            </w:hyperlink>
            <w:r w:rsidRPr="00CE2BD7">
              <w:rPr>
                <w:rFonts w:eastAsia="Calibri"/>
                <w:sz w:val="22"/>
                <w:szCs w:val="22"/>
                <w:lang w:eastAsia="en-US"/>
              </w:rPr>
              <w:t xml:space="preserve"> adresinden erişilebilir.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3036CD">
              <w:rPr>
                <w:rFonts w:eastAsia="Calibri"/>
                <w:sz w:val="22"/>
                <w:szCs w:val="22"/>
                <w:lang w:eastAsia="en-US"/>
              </w:rPr>
              <w:t>ATP aracın ön camının sağ üst tarafına koruma ve güvenlik görevlilerince görülebilecek şekilde yapıştırılır.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036CD">
              <w:rPr>
                <w:rFonts w:eastAsia="Calibri"/>
                <w:sz w:val="22"/>
                <w:szCs w:val="22"/>
                <w:lang w:eastAsia="en-US"/>
              </w:rPr>
              <w:t xml:space="preserve">Sürücüler, giriş çıkışlarda ve kontrol noktalarında </w:t>
            </w:r>
            <w:proofErr w:type="spellStart"/>
            <w:r w:rsidRPr="003036CD">
              <w:rPr>
                <w:rFonts w:eastAsia="Calibri"/>
                <w:sz w:val="22"/>
                <w:szCs w:val="22"/>
                <w:lang w:eastAsia="en-US"/>
              </w:rPr>
              <w:t>ATP’yi</w:t>
            </w:r>
            <w:proofErr w:type="spellEnd"/>
            <w:r w:rsidRPr="003036CD">
              <w:rPr>
                <w:rFonts w:eastAsia="Calibri"/>
                <w:sz w:val="22"/>
                <w:szCs w:val="22"/>
                <w:lang w:eastAsia="en-US"/>
              </w:rPr>
              <w:t xml:space="preserve"> koruma ve güvenlik görevlilerine göstermekle yükümlüdür.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036CD">
              <w:rPr>
                <w:rFonts w:eastAsia="Calibri"/>
                <w:sz w:val="22"/>
                <w:szCs w:val="22"/>
                <w:lang w:eastAsia="en-US"/>
              </w:rPr>
              <w:t>Cam bulunmayan araçlarda ATP koruma ve güvenlik görevlilerine gösterilir.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036CD">
              <w:rPr>
                <w:rFonts w:eastAsia="Calibri"/>
                <w:sz w:val="22"/>
                <w:szCs w:val="22"/>
                <w:lang w:eastAsia="en-US"/>
              </w:rPr>
              <w:t>ATP öğrenci için bağlı olduğu akademik birim, diğer gruplar için ilgili Genel Sekreter Yardımcılığınca, Trafik İzleme ve Değerlendirme Komisyonunca belirlenen belgeler ve ücret karşılığında verilir.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036CD">
              <w:rPr>
                <w:rFonts w:eastAsia="Calibri"/>
                <w:color w:val="000000"/>
                <w:sz w:val="22"/>
                <w:szCs w:val="22"/>
                <w:lang w:eastAsia="en-US"/>
              </w:rPr>
              <w:t>ATP ilgili şahıslara araç plakasına tanımlanarak verilir.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036C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Sürücüye verilen ATP başka araçlar ve şahıslar tarafından kullanılamaz. Başka şahıslar tarafından kullanıldığı tespit edilen ATP güvenlik görevlilerince geri alınır ve kişi hakkında tutanak tutulur. 5326 sayılı Kabahatler kanununun 32 </w:t>
            </w:r>
            <w:proofErr w:type="spellStart"/>
            <w:r w:rsidRPr="003036CD">
              <w:rPr>
                <w:rFonts w:eastAsia="Calibri"/>
                <w:color w:val="000000"/>
                <w:sz w:val="22"/>
                <w:szCs w:val="22"/>
                <w:lang w:eastAsia="en-US"/>
              </w:rPr>
              <w:t>nci</w:t>
            </w:r>
            <w:proofErr w:type="spellEnd"/>
            <w:r w:rsidRPr="003036C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maddesine göre idari para cezası verilir. Taraflara yönelik olarak ayrıca disiplin soruşturması başlatılır. Ayrıca </w:t>
            </w:r>
            <w:proofErr w:type="spellStart"/>
            <w:r w:rsidRPr="003036CD">
              <w:rPr>
                <w:rFonts w:eastAsia="Calibri"/>
                <w:color w:val="000000"/>
                <w:sz w:val="22"/>
                <w:szCs w:val="22"/>
                <w:lang w:eastAsia="en-US"/>
              </w:rPr>
              <w:t>Yönerge’nin</w:t>
            </w:r>
            <w:proofErr w:type="spellEnd"/>
            <w:r w:rsidRPr="003036C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15 inci maddesi kapsamında yerleşke içerisinde ortaya çıkacak adli ve idari olaylardan ATP sahibi sorumlu tutulur.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036CD">
              <w:rPr>
                <w:rFonts w:eastAsia="Calibri"/>
                <w:sz w:val="22"/>
                <w:szCs w:val="22"/>
                <w:lang w:eastAsia="en-US"/>
              </w:rPr>
              <w:t xml:space="preserve">ATP tanımlı aracın başkasına devredilmiş olması durumunda ilgili araç sahibi bu durumu </w:t>
            </w:r>
            <w:proofErr w:type="spellStart"/>
            <w:r w:rsidRPr="003036CD">
              <w:rPr>
                <w:rFonts w:eastAsia="Calibri"/>
                <w:sz w:val="22"/>
                <w:szCs w:val="22"/>
                <w:lang w:eastAsia="en-US"/>
              </w:rPr>
              <w:t>ATP’yi</w:t>
            </w:r>
            <w:proofErr w:type="spellEnd"/>
            <w:r w:rsidRPr="003036CD">
              <w:rPr>
                <w:rFonts w:eastAsia="Calibri"/>
                <w:sz w:val="22"/>
                <w:szCs w:val="22"/>
                <w:lang w:eastAsia="en-US"/>
              </w:rPr>
              <w:t xml:space="preserve"> aldığı birime bildirmek ve </w:t>
            </w:r>
            <w:proofErr w:type="spellStart"/>
            <w:r w:rsidRPr="003036CD">
              <w:rPr>
                <w:rFonts w:eastAsia="Calibri"/>
                <w:sz w:val="22"/>
                <w:szCs w:val="22"/>
                <w:lang w:eastAsia="en-US"/>
              </w:rPr>
              <w:t>ATP’yi</w:t>
            </w:r>
            <w:proofErr w:type="spellEnd"/>
            <w:r w:rsidRPr="003036CD">
              <w:rPr>
                <w:rFonts w:eastAsia="Calibri"/>
                <w:sz w:val="22"/>
                <w:szCs w:val="22"/>
                <w:lang w:eastAsia="en-US"/>
              </w:rPr>
              <w:t xml:space="preserve"> iade etmek zorundadır.  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036CD">
              <w:rPr>
                <w:rFonts w:eastAsia="Calibri"/>
                <w:sz w:val="22"/>
                <w:szCs w:val="22"/>
                <w:lang w:eastAsia="en-US"/>
              </w:rPr>
              <w:t>ATP verilmesi uygun görülen her bir araç için ücret ve ATP geçerlilik süresi, Trafik İzleme ve Değerlendirme Komisyonunca belirlenir.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036CD">
              <w:rPr>
                <w:rFonts w:eastAsia="Calibri"/>
                <w:sz w:val="22"/>
                <w:szCs w:val="22"/>
                <w:lang w:eastAsia="en-US"/>
              </w:rPr>
              <w:t>Ücretli verilen ATP iade edildiğinde ya da üniversite tarafından iptal edildiğinde ücret iade edilmez.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036C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Üniversite yerleşkesi içerisinde trafik kurallarına uymayan kişiler için bu Yönerge ekinde (EK-1) belirtilen yaptırımlar uygulanır. Yaptırım kararı ilgili kişilere e-posta yoluyla tebliğ edilir.  </w:t>
            </w:r>
            <w:r w:rsidRPr="003036CD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                 </w:t>
            </w:r>
            <w:r w:rsidRPr="003036CD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CA3F3B" w:rsidRPr="00CA3F3B" w:rsidTr="00CA3F3B">
        <w:trPr>
          <w:jc w:val="center"/>
        </w:trPr>
        <w:tc>
          <w:tcPr>
            <w:tcW w:w="15730" w:type="dxa"/>
          </w:tcPr>
          <w:p w:rsidR="00CA3F3B" w:rsidRPr="003036CD" w:rsidRDefault="00CA3F3B" w:rsidP="003036CD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036C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Trafik Yaptırımı ve Uygulama Esasları Niğde Ömer </w:t>
            </w:r>
            <w:proofErr w:type="spellStart"/>
            <w:r w:rsidRPr="003036CD">
              <w:rPr>
                <w:rFonts w:eastAsia="Calibri"/>
                <w:color w:val="000000"/>
                <w:sz w:val="22"/>
                <w:szCs w:val="22"/>
                <w:lang w:eastAsia="en-US"/>
              </w:rPr>
              <w:t>Halisdemir</w:t>
            </w:r>
            <w:proofErr w:type="spellEnd"/>
            <w:r w:rsidRPr="003036C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Üniversitesi Trafik İzleme ve Değerlendirme Komisyonu tarafından düzenlenir.  </w:t>
            </w:r>
          </w:p>
        </w:tc>
      </w:tr>
      <w:tr w:rsidR="00FC5008" w:rsidRPr="00CA3F3B" w:rsidTr="00C671DC">
        <w:trPr>
          <w:trHeight w:val="70"/>
          <w:jc w:val="center"/>
        </w:trPr>
        <w:tc>
          <w:tcPr>
            <w:tcW w:w="15730" w:type="dxa"/>
          </w:tcPr>
          <w:p w:rsidR="00FC5008" w:rsidRPr="003036CD" w:rsidRDefault="00FC5008" w:rsidP="00FC5008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ATP’nin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mülkiyeti Niğde Ömer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Halisdemir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Üniversitesine ait olup gerekli gördüğü durumlarda ve istenildiğinde iade edilmesi zorunludur. </w:t>
            </w:r>
          </w:p>
        </w:tc>
      </w:tr>
    </w:tbl>
    <w:p w:rsidR="00125E25" w:rsidRDefault="00125E25" w:rsidP="00125E25">
      <w:pPr>
        <w:tabs>
          <w:tab w:val="left" w:pos="0"/>
        </w:tabs>
        <w:ind w:hanging="851"/>
        <w:jc w:val="both"/>
        <w:rPr>
          <w:rFonts w:eastAsia="Calibri"/>
          <w:b/>
          <w:sz w:val="22"/>
          <w:szCs w:val="22"/>
          <w:lang w:eastAsia="en-US"/>
        </w:rPr>
      </w:pPr>
    </w:p>
    <w:p w:rsidR="00CE2BD7" w:rsidRPr="00F43382" w:rsidRDefault="0090404A" w:rsidP="00125E25">
      <w:pPr>
        <w:tabs>
          <w:tab w:val="left" w:pos="0"/>
        </w:tabs>
        <w:ind w:right="-882" w:hanging="851"/>
        <w:jc w:val="both"/>
        <w:rPr>
          <w:rFonts w:eastAsia="Calibri"/>
          <w:b/>
          <w:sz w:val="22"/>
          <w:szCs w:val="22"/>
          <w:lang w:eastAsia="en-US"/>
        </w:rPr>
      </w:pPr>
      <w:r w:rsidRPr="00F43382">
        <w:rPr>
          <w:rFonts w:eastAsia="Calibri"/>
          <w:b/>
          <w:sz w:val="22"/>
          <w:szCs w:val="22"/>
          <w:lang w:eastAsia="en-US"/>
        </w:rPr>
        <w:t xml:space="preserve">* </w:t>
      </w:r>
      <w:r w:rsidR="00CE2BD7" w:rsidRPr="00F43382">
        <w:rPr>
          <w:rFonts w:eastAsia="Calibri"/>
          <w:b/>
          <w:sz w:val="22"/>
          <w:szCs w:val="22"/>
          <w:lang w:eastAsia="en-US"/>
        </w:rPr>
        <w:t>6698 sayılı K</w:t>
      </w:r>
      <w:r w:rsidR="002A0D84">
        <w:rPr>
          <w:rFonts w:eastAsia="Calibri"/>
          <w:b/>
          <w:sz w:val="22"/>
          <w:szCs w:val="22"/>
          <w:lang w:eastAsia="en-US"/>
        </w:rPr>
        <w:t xml:space="preserve">işisel Verileri Koruma Kanunu </w:t>
      </w:r>
      <w:r w:rsidR="00CE2BD7" w:rsidRPr="00F43382">
        <w:rPr>
          <w:rFonts w:eastAsia="Calibri"/>
          <w:b/>
          <w:sz w:val="22"/>
          <w:szCs w:val="22"/>
          <w:lang w:eastAsia="en-US"/>
        </w:rPr>
        <w:t xml:space="preserve">kapsamında </w:t>
      </w:r>
      <w:r w:rsidR="00125E25" w:rsidRPr="00125E25">
        <w:rPr>
          <w:color w:val="5B9BD5" w:themeColor="accent1"/>
        </w:rPr>
        <w:t>https://ohu.edu.tr/kvk/sayfa/aydinlatma-metni</w:t>
      </w:r>
      <w:r w:rsidR="00CE2BD7" w:rsidRPr="00125E25">
        <w:rPr>
          <w:rFonts w:eastAsia="Calibri"/>
          <w:b/>
          <w:color w:val="5B9BD5" w:themeColor="accent1"/>
          <w:sz w:val="22"/>
          <w:szCs w:val="22"/>
          <w:lang w:eastAsia="en-US"/>
        </w:rPr>
        <w:t xml:space="preserve"> </w:t>
      </w:r>
      <w:r w:rsidR="00CE2BD7" w:rsidRPr="00F43382">
        <w:rPr>
          <w:rFonts w:eastAsia="Calibri"/>
          <w:b/>
          <w:sz w:val="22"/>
          <w:szCs w:val="22"/>
          <w:lang w:eastAsia="en-US"/>
        </w:rPr>
        <w:t xml:space="preserve">adresinde bulunan Aydınlatma Metnini </w:t>
      </w:r>
      <w:proofErr w:type="gramStart"/>
      <w:r w:rsidR="00125E25">
        <w:rPr>
          <w:rFonts w:eastAsia="Calibri"/>
          <w:b/>
          <w:sz w:val="22"/>
          <w:szCs w:val="22"/>
          <w:lang w:eastAsia="en-US"/>
        </w:rPr>
        <w:t>………………………</w:t>
      </w:r>
      <w:proofErr w:type="gramEnd"/>
    </w:p>
    <w:p w:rsidR="00CA3F3B" w:rsidRPr="00F43382" w:rsidRDefault="0090404A" w:rsidP="00125E25">
      <w:pPr>
        <w:ind w:left="-851"/>
        <w:jc w:val="both"/>
        <w:rPr>
          <w:rFonts w:eastAsia="Calibri"/>
          <w:b/>
          <w:sz w:val="22"/>
          <w:szCs w:val="22"/>
          <w:lang w:eastAsia="en-US"/>
        </w:rPr>
      </w:pPr>
      <w:r w:rsidRPr="00F43382">
        <w:rPr>
          <w:rFonts w:eastAsia="Calibri"/>
          <w:b/>
          <w:sz w:val="22"/>
          <w:szCs w:val="22"/>
          <w:lang w:eastAsia="en-US"/>
        </w:rPr>
        <w:t xml:space="preserve">* </w:t>
      </w:r>
      <w:r w:rsidR="00CE2BD7" w:rsidRPr="00F43382">
        <w:rPr>
          <w:rFonts w:eastAsia="Calibri"/>
          <w:b/>
          <w:color w:val="5B9BD5" w:themeColor="accent1"/>
          <w:sz w:val="22"/>
          <w:szCs w:val="22"/>
          <w:lang w:eastAsia="en-US"/>
        </w:rPr>
        <w:t xml:space="preserve">https://www.ohu.edu.tr/genelsekreterlik/sayfa/yonergeler </w:t>
      </w:r>
      <w:r w:rsidR="00CE2BD7" w:rsidRPr="00F43382">
        <w:rPr>
          <w:rFonts w:eastAsia="Calibri"/>
          <w:b/>
          <w:sz w:val="22"/>
          <w:szCs w:val="22"/>
          <w:lang w:eastAsia="en-US"/>
        </w:rPr>
        <w:t xml:space="preserve">adresinde bulunan Trafik Yönergesini </w:t>
      </w:r>
      <w:proofErr w:type="gramStart"/>
      <w:r w:rsidR="00125E25">
        <w:rPr>
          <w:rFonts w:eastAsia="Calibri"/>
          <w:b/>
          <w:sz w:val="22"/>
          <w:szCs w:val="22"/>
          <w:lang w:eastAsia="en-US"/>
        </w:rPr>
        <w:t>………………………</w:t>
      </w:r>
      <w:proofErr w:type="gramEnd"/>
    </w:p>
    <w:p w:rsidR="00CE2BD7" w:rsidRPr="00F43382" w:rsidRDefault="00CE2BD7" w:rsidP="00CE2BD7">
      <w:pPr>
        <w:tabs>
          <w:tab w:val="left" w:pos="0"/>
        </w:tabs>
        <w:jc w:val="both"/>
        <w:rPr>
          <w:b/>
          <w:sz w:val="22"/>
          <w:szCs w:val="22"/>
        </w:rPr>
      </w:pPr>
    </w:p>
    <w:p w:rsidR="00CA3F3B" w:rsidRPr="00CA3F3B" w:rsidRDefault="00CA3F3B" w:rsidP="00CA3F3B">
      <w:pPr>
        <w:tabs>
          <w:tab w:val="left" w:pos="0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CA3F3B">
        <w:rPr>
          <w:rFonts w:eastAsia="Calibri"/>
          <w:b/>
          <w:sz w:val="22"/>
          <w:szCs w:val="22"/>
          <w:lang w:eastAsia="en-US"/>
        </w:rPr>
        <w:t xml:space="preserve">Yukarıdaki beyanlarım doğru olup </w:t>
      </w:r>
      <w:r w:rsidR="001C0A60">
        <w:rPr>
          <w:rFonts w:eastAsia="Calibri"/>
          <w:b/>
          <w:sz w:val="22"/>
          <w:szCs w:val="22"/>
          <w:lang w:eastAsia="en-US"/>
        </w:rPr>
        <w:t xml:space="preserve">Niğde Ömer </w:t>
      </w:r>
      <w:proofErr w:type="spellStart"/>
      <w:r w:rsidR="001C0A60">
        <w:rPr>
          <w:rFonts w:eastAsia="Calibri"/>
          <w:b/>
          <w:sz w:val="22"/>
          <w:szCs w:val="22"/>
          <w:lang w:eastAsia="en-US"/>
        </w:rPr>
        <w:t>Halisdemir</w:t>
      </w:r>
      <w:proofErr w:type="spellEnd"/>
      <w:r w:rsidR="001C0A60">
        <w:rPr>
          <w:rFonts w:eastAsia="Calibri"/>
          <w:b/>
          <w:sz w:val="22"/>
          <w:szCs w:val="22"/>
          <w:lang w:eastAsia="en-US"/>
        </w:rPr>
        <w:t xml:space="preserve"> Üniversitesi Trafik Yönergesine</w:t>
      </w:r>
      <w:r w:rsidRPr="00CA3F3B">
        <w:rPr>
          <w:rFonts w:eastAsia="Calibri"/>
          <w:b/>
          <w:sz w:val="22"/>
          <w:szCs w:val="22"/>
          <w:lang w:eastAsia="en-US"/>
        </w:rPr>
        <w:t xml:space="preserve"> uyacağımı </w:t>
      </w:r>
      <w:proofErr w:type="spellStart"/>
      <w:r w:rsidR="00E73D60">
        <w:rPr>
          <w:rFonts w:eastAsia="Calibri"/>
          <w:b/>
          <w:sz w:val="22"/>
          <w:szCs w:val="22"/>
          <w:lang w:eastAsia="en-US"/>
        </w:rPr>
        <w:t>gayrıkabili</w:t>
      </w:r>
      <w:proofErr w:type="spellEnd"/>
      <w:r w:rsidR="00E73D60">
        <w:rPr>
          <w:rFonts w:eastAsia="Calibri"/>
          <w:b/>
          <w:sz w:val="22"/>
          <w:szCs w:val="22"/>
          <w:lang w:eastAsia="en-US"/>
        </w:rPr>
        <w:t xml:space="preserve"> rücu beyan ve taahhüt ederim.</w:t>
      </w:r>
    </w:p>
    <w:tbl>
      <w:tblPr>
        <w:tblStyle w:val="TabloKlavuzu"/>
        <w:tblW w:w="15735" w:type="dxa"/>
        <w:tblInd w:w="-856" w:type="dxa"/>
        <w:tblLook w:val="04A0" w:firstRow="1" w:lastRow="0" w:firstColumn="1" w:lastColumn="0" w:noHBand="0" w:noVBand="1"/>
      </w:tblPr>
      <w:tblGrid>
        <w:gridCol w:w="5520"/>
        <w:gridCol w:w="2332"/>
        <w:gridCol w:w="2332"/>
        <w:gridCol w:w="5551"/>
      </w:tblGrid>
      <w:tr w:rsidR="00CA3F3B" w:rsidRPr="00CA3F3B" w:rsidTr="00CA3F3B">
        <w:tc>
          <w:tcPr>
            <w:tcW w:w="5520" w:type="dxa"/>
          </w:tcPr>
          <w:p w:rsidR="00CA3F3B" w:rsidRPr="00CA3F3B" w:rsidRDefault="00CA3F3B" w:rsidP="00CA3F3B">
            <w:pPr>
              <w:tabs>
                <w:tab w:val="left" w:pos="0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F3B">
              <w:rPr>
                <w:rFonts w:eastAsia="Calibri"/>
                <w:b/>
                <w:sz w:val="22"/>
                <w:szCs w:val="22"/>
                <w:lang w:eastAsia="en-US"/>
              </w:rPr>
              <w:t>Adı Soyadı:</w:t>
            </w:r>
          </w:p>
        </w:tc>
        <w:tc>
          <w:tcPr>
            <w:tcW w:w="4664" w:type="dxa"/>
            <w:gridSpan w:val="2"/>
          </w:tcPr>
          <w:p w:rsidR="00CA3F3B" w:rsidRPr="00CA3F3B" w:rsidRDefault="00CA3F3B" w:rsidP="00E73D60">
            <w:pPr>
              <w:tabs>
                <w:tab w:val="left" w:pos="0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F3B">
              <w:rPr>
                <w:rFonts w:eastAsia="Calibri"/>
                <w:b/>
                <w:sz w:val="22"/>
                <w:szCs w:val="22"/>
                <w:lang w:eastAsia="en-US"/>
              </w:rPr>
              <w:t xml:space="preserve">Tarih: </w:t>
            </w:r>
            <w:proofErr w:type="gramStart"/>
            <w:r w:rsidRPr="00CA3F3B">
              <w:rPr>
                <w:rFonts w:eastAsia="Calibri"/>
                <w:b/>
                <w:sz w:val="22"/>
                <w:szCs w:val="22"/>
                <w:lang w:eastAsia="en-US"/>
              </w:rPr>
              <w:t>…..</w:t>
            </w:r>
            <w:proofErr w:type="gramEnd"/>
            <w:r w:rsidRPr="00CA3F3B">
              <w:rPr>
                <w:rFonts w:eastAsia="Calibri"/>
                <w:b/>
                <w:sz w:val="22"/>
                <w:szCs w:val="22"/>
                <w:lang w:eastAsia="en-US"/>
              </w:rPr>
              <w:t>/…../……..</w:t>
            </w:r>
          </w:p>
        </w:tc>
        <w:tc>
          <w:tcPr>
            <w:tcW w:w="5551" w:type="dxa"/>
          </w:tcPr>
          <w:p w:rsidR="00CA3F3B" w:rsidRPr="00CA3F3B" w:rsidRDefault="00CA3F3B" w:rsidP="00CA3F3B">
            <w:pPr>
              <w:tabs>
                <w:tab w:val="left" w:pos="0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F3B">
              <w:rPr>
                <w:rFonts w:eastAsia="Calibri"/>
                <w:b/>
                <w:sz w:val="22"/>
                <w:szCs w:val="22"/>
                <w:lang w:eastAsia="en-US"/>
              </w:rPr>
              <w:t>İmza:</w:t>
            </w:r>
          </w:p>
        </w:tc>
      </w:tr>
      <w:tr w:rsidR="00CA3F3B" w:rsidRPr="00CA3F3B" w:rsidTr="00CA3F3B">
        <w:tc>
          <w:tcPr>
            <w:tcW w:w="7852" w:type="dxa"/>
            <w:gridSpan w:val="2"/>
          </w:tcPr>
          <w:p w:rsidR="00CA3F3B" w:rsidRPr="00CA3F3B" w:rsidRDefault="00CA3F3B" w:rsidP="00CE2BD7">
            <w:pPr>
              <w:tabs>
                <w:tab w:val="left" w:pos="0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F3B">
              <w:rPr>
                <w:rFonts w:eastAsia="Calibri"/>
                <w:b/>
                <w:sz w:val="22"/>
                <w:szCs w:val="22"/>
                <w:lang w:eastAsia="en-US"/>
              </w:rPr>
              <w:t>Araç Tanıtım Pul No:</w:t>
            </w:r>
          </w:p>
        </w:tc>
        <w:tc>
          <w:tcPr>
            <w:tcW w:w="7883" w:type="dxa"/>
            <w:gridSpan w:val="2"/>
          </w:tcPr>
          <w:p w:rsidR="00CA3F3B" w:rsidRPr="00CA3F3B" w:rsidRDefault="00CA3F3B" w:rsidP="00CA3F3B">
            <w:pPr>
              <w:tabs>
                <w:tab w:val="left" w:pos="0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F3B">
              <w:rPr>
                <w:rFonts w:eastAsia="Calibri"/>
                <w:b/>
                <w:sz w:val="22"/>
                <w:szCs w:val="22"/>
                <w:lang w:eastAsia="en-US"/>
              </w:rPr>
              <w:t>Makbuz Tarihi No:</w:t>
            </w:r>
          </w:p>
        </w:tc>
      </w:tr>
    </w:tbl>
    <w:p w:rsidR="00CA3F3B" w:rsidRPr="00CA3F3B" w:rsidRDefault="00CA3F3B" w:rsidP="006458E1">
      <w:pPr>
        <w:tabs>
          <w:tab w:val="left" w:pos="0"/>
        </w:tabs>
        <w:jc w:val="center"/>
        <w:rPr>
          <w:b/>
          <w:sz w:val="22"/>
          <w:szCs w:val="22"/>
        </w:rPr>
      </w:pPr>
    </w:p>
    <w:sectPr w:rsidR="00CA3F3B" w:rsidRPr="00CA3F3B" w:rsidSect="00CA3F3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31D7"/>
    <w:multiLevelType w:val="hybridMultilevel"/>
    <w:tmpl w:val="4FDE5066"/>
    <w:lvl w:ilvl="0" w:tplc="B6569C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02F1"/>
    <w:multiLevelType w:val="hybridMultilevel"/>
    <w:tmpl w:val="2AF8F776"/>
    <w:lvl w:ilvl="0" w:tplc="686C67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485E"/>
    <w:multiLevelType w:val="hybridMultilevel"/>
    <w:tmpl w:val="2F50900A"/>
    <w:lvl w:ilvl="0" w:tplc="686C67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27EE"/>
    <w:multiLevelType w:val="hybridMultilevel"/>
    <w:tmpl w:val="0C125420"/>
    <w:lvl w:ilvl="0" w:tplc="686C67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952F4"/>
    <w:multiLevelType w:val="hybridMultilevel"/>
    <w:tmpl w:val="A1CCA52E"/>
    <w:lvl w:ilvl="0" w:tplc="4E080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43C1C"/>
    <w:multiLevelType w:val="hybridMultilevel"/>
    <w:tmpl w:val="06F4FDB8"/>
    <w:lvl w:ilvl="0" w:tplc="36D04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CB"/>
    <w:rsid w:val="000377A3"/>
    <w:rsid w:val="000E22E3"/>
    <w:rsid w:val="00125E25"/>
    <w:rsid w:val="001C0A60"/>
    <w:rsid w:val="002235A9"/>
    <w:rsid w:val="002A0D84"/>
    <w:rsid w:val="003036CD"/>
    <w:rsid w:val="003409C9"/>
    <w:rsid w:val="006458E1"/>
    <w:rsid w:val="006713B6"/>
    <w:rsid w:val="006B6EFB"/>
    <w:rsid w:val="007951E1"/>
    <w:rsid w:val="00801661"/>
    <w:rsid w:val="0090404A"/>
    <w:rsid w:val="00977EDB"/>
    <w:rsid w:val="00A84DCB"/>
    <w:rsid w:val="00B76D49"/>
    <w:rsid w:val="00B848C7"/>
    <w:rsid w:val="00C3069B"/>
    <w:rsid w:val="00C671DC"/>
    <w:rsid w:val="00CA3F3B"/>
    <w:rsid w:val="00CE2653"/>
    <w:rsid w:val="00CE2BD7"/>
    <w:rsid w:val="00D8101C"/>
    <w:rsid w:val="00E5045D"/>
    <w:rsid w:val="00E73D60"/>
    <w:rsid w:val="00E946B1"/>
    <w:rsid w:val="00EA7453"/>
    <w:rsid w:val="00EF5E47"/>
    <w:rsid w:val="00F43382"/>
    <w:rsid w:val="00FC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8170-FA11-41C9-8756-E7F369E2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36C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946B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40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04A"/>
    <w:rPr>
      <w:rFonts w:ascii="Segoe UI" w:eastAsia="Times New Roman" w:hAnsi="Segoe UI" w:cs="Segoe UI"/>
      <w:sz w:val="18"/>
      <w:szCs w:val="18"/>
      <w:lang w:eastAsia="tr-TR"/>
    </w:rPr>
  </w:style>
  <w:style w:type="character" w:styleId="Vurgu">
    <w:name w:val="Emphasis"/>
    <w:basedOn w:val="VarsaylanParagrafYazTipi"/>
    <w:uiPriority w:val="20"/>
    <w:qFormat/>
    <w:rsid w:val="00E73D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u.edu.tr/genelsekreterlik/sayfa/yonergele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20</cp:revision>
  <cp:lastPrinted>2021-12-16T08:43:00Z</cp:lastPrinted>
  <dcterms:created xsi:type="dcterms:W3CDTF">2021-12-13T07:05:00Z</dcterms:created>
  <dcterms:modified xsi:type="dcterms:W3CDTF">2026-04-15T11:28:00Z</dcterms:modified>
</cp:coreProperties>
</file>