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CC6" w:rsidRDefault="008F18F8">
      <w:pPr>
        <w:pStyle w:val="GvdeMetni"/>
        <w:ind w:left="3411"/>
        <w:rPr>
          <w:sz w:val="20"/>
        </w:rPr>
      </w:pPr>
      <w:r>
        <w:rPr>
          <w:noProof/>
          <w:sz w:val="20"/>
        </w:rPr>
        <w:drawing>
          <wp:inline distT="0" distB="0" distL="0" distR="0">
            <wp:extent cx="1622891" cy="15883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22891" cy="1588388"/>
                    </a:xfrm>
                    <a:prstGeom prst="rect">
                      <a:avLst/>
                    </a:prstGeom>
                  </pic:spPr>
                </pic:pic>
              </a:graphicData>
            </a:graphic>
          </wp:inline>
        </w:drawing>
      </w:r>
    </w:p>
    <w:p w:rsidR="000C1CC6" w:rsidRDefault="000C1CC6">
      <w:pPr>
        <w:pStyle w:val="GvdeMetni"/>
        <w:rPr>
          <w:sz w:val="26"/>
        </w:rPr>
      </w:pPr>
    </w:p>
    <w:p w:rsidR="000C1CC6" w:rsidRDefault="000C1CC6">
      <w:pPr>
        <w:pStyle w:val="GvdeMetni"/>
        <w:spacing w:before="107"/>
        <w:rPr>
          <w:sz w:val="26"/>
        </w:rPr>
      </w:pPr>
    </w:p>
    <w:p w:rsidR="000C1CC6" w:rsidRDefault="008F18F8">
      <w:pPr>
        <w:ind w:right="138"/>
        <w:jc w:val="center"/>
        <w:rPr>
          <w:b/>
          <w:sz w:val="26"/>
        </w:rPr>
      </w:pPr>
      <w:r>
        <w:rPr>
          <w:b/>
          <w:spacing w:val="-4"/>
          <w:sz w:val="26"/>
        </w:rPr>
        <w:t>T.C.</w:t>
      </w:r>
    </w:p>
    <w:p w:rsidR="000C1CC6" w:rsidRDefault="008F18F8">
      <w:pPr>
        <w:spacing w:before="245"/>
        <w:ind w:right="138"/>
        <w:jc w:val="center"/>
        <w:rPr>
          <w:b/>
          <w:sz w:val="26"/>
        </w:rPr>
      </w:pPr>
      <w:r>
        <w:rPr>
          <w:b/>
          <w:sz w:val="26"/>
        </w:rPr>
        <w:t>NİĞDE</w:t>
      </w:r>
      <w:r>
        <w:rPr>
          <w:b/>
          <w:spacing w:val="-4"/>
          <w:sz w:val="26"/>
        </w:rPr>
        <w:t xml:space="preserve"> </w:t>
      </w:r>
      <w:r>
        <w:rPr>
          <w:b/>
          <w:sz w:val="26"/>
        </w:rPr>
        <w:t>ÖMER</w:t>
      </w:r>
      <w:r>
        <w:rPr>
          <w:b/>
          <w:spacing w:val="-4"/>
          <w:sz w:val="26"/>
        </w:rPr>
        <w:t xml:space="preserve"> </w:t>
      </w:r>
      <w:r>
        <w:rPr>
          <w:b/>
          <w:sz w:val="26"/>
        </w:rPr>
        <w:t>HALİSDEMİR</w:t>
      </w:r>
      <w:r>
        <w:rPr>
          <w:b/>
          <w:spacing w:val="-3"/>
          <w:sz w:val="26"/>
        </w:rPr>
        <w:t xml:space="preserve"> </w:t>
      </w:r>
      <w:r>
        <w:rPr>
          <w:b/>
          <w:spacing w:val="-2"/>
          <w:sz w:val="26"/>
        </w:rPr>
        <w:t>ÜNİVERSİTESİ</w:t>
      </w:r>
    </w:p>
    <w:p w:rsidR="000C1CC6" w:rsidRDefault="000C1CC6">
      <w:pPr>
        <w:pStyle w:val="GvdeMetni"/>
        <w:spacing w:before="50"/>
        <w:rPr>
          <w:b/>
          <w:sz w:val="26"/>
        </w:rPr>
      </w:pPr>
    </w:p>
    <w:p w:rsidR="000C1CC6" w:rsidRDefault="006B4246">
      <w:pPr>
        <w:tabs>
          <w:tab w:val="left" w:leader="dot" w:pos="974"/>
        </w:tabs>
        <w:ind w:right="138"/>
        <w:jc w:val="center"/>
        <w:rPr>
          <w:b/>
          <w:sz w:val="26"/>
        </w:rPr>
      </w:pPr>
      <w:r>
        <w:rPr>
          <w:b/>
          <w:spacing w:val="-10"/>
          <w:sz w:val="26"/>
        </w:rPr>
        <w:t xml:space="preserve">ZÜBEYDE HANIM SAĞLIK BİLİMLERİ </w:t>
      </w:r>
      <w:r w:rsidR="008F18F8">
        <w:rPr>
          <w:b/>
          <w:sz w:val="26"/>
        </w:rPr>
        <w:t>FAKÜLTESİ</w:t>
      </w:r>
      <w:r w:rsidR="008F18F8">
        <w:rPr>
          <w:b/>
          <w:spacing w:val="-5"/>
          <w:sz w:val="26"/>
        </w:rPr>
        <w:t xml:space="preserve"> </w:t>
      </w:r>
    </w:p>
    <w:p w:rsidR="000C1CC6" w:rsidRDefault="000C1CC6">
      <w:pPr>
        <w:pStyle w:val="GvdeMetni"/>
        <w:spacing w:before="50"/>
        <w:rPr>
          <w:b/>
          <w:sz w:val="26"/>
        </w:rPr>
      </w:pPr>
    </w:p>
    <w:p w:rsidR="000C1CC6" w:rsidRDefault="006B4246">
      <w:pPr>
        <w:tabs>
          <w:tab w:val="left" w:leader="dot" w:pos="1624"/>
        </w:tabs>
        <w:spacing w:before="1"/>
        <w:ind w:right="138"/>
        <w:jc w:val="center"/>
        <w:rPr>
          <w:b/>
          <w:sz w:val="26"/>
        </w:rPr>
      </w:pPr>
      <w:r>
        <w:rPr>
          <w:b/>
          <w:spacing w:val="-10"/>
          <w:sz w:val="26"/>
        </w:rPr>
        <w:t xml:space="preserve">SOSYAL HİZMET </w:t>
      </w:r>
      <w:r w:rsidR="008F18F8">
        <w:rPr>
          <w:b/>
          <w:spacing w:val="-2"/>
          <w:sz w:val="26"/>
        </w:rPr>
        <w:t>BÖLÜMÜ</w:t>
      </w: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spacing w:before="132"/>
        <w:rPr>
          <w:b/>
          <w:sz w:val="26"/>
        </w:rPr>
      </w:pPr>
    </w:p>
    <w:p w:rsidR="000C1CC6" w:rsidRDefault="008F18F8">
      <w:pPr>
        <w:spacing w:before="1"/>
        <w:ind w:right="137"/>
        <w:jc w:val="center"/>
        <w:rPr>
          <w:b/>
          <w:sz w:val="26"/>
        </w:rPr>
      </w:pPr>
      <w:r>
        <w:rPr>
          <w:b/>
          <w:sz w:val="26"/>
        </w:rPr>
        <w:t>2025-2026</w:t>
      </w:r>
      <w:r>
        <w:rPr>
          <w:b/>
          <w:spacing w:val="-1"/>
          <w:sz w:val="26"/>
        </w:rPr>
        <w:t xml:space="preserve"> </w:t>
      </w:r>
      <w:r>
        <w:rPr>
          <w:b/>
          <w:sz w:val="26"/>
        </w:rPr>
        <w:t>EĞİTİM-ÖĞRETİM</w:t>
      </w:r>
      <w:r>
        <w:rPr>
          <w:b/>
          <w:spacing w:val="-1"/>
          <w:sz w:val="26"/>
        </w:rPr>
        <w:t xml:space="preserve"> </w:t>
      </w:r>
      <w:r>
        <w:rPr>
          <w:b/>
          <w:sz w:val="26"/>
        </w:rPr>
        <w:t>YILI</w:t>
      </w:r>
      <w:r>
        <w:rPr>
          <w:b/>
          <w:spacing w:val="-2"/>
          <w:sz w:val="26"/>
        </w:rPr>
        <w:t xml:space="preserve"> </w:t>
      </w:r>
      <w:r>
        <w:rPr>
          <w:b/>
          <w:sz w:val="26"/>
        </w:rPr>
        <w:t xml:space="preserve">GÜZ </w:t>
      </w:r>
      <w:r>
        <w:rPr>
          <w:b/>
          <w:spacing w:val="-2"/>
          <w:sz w:val="26"/>
        </w:rPr>
        <w:t>YARIYILI</w:t>
      </w:r>
    </w:p>
    <w:p w:rsidR="000C1CC6" w:rsidRDefault="000C1CC6">
      <w:pPr>
        <w:pStyle w:val="GvdeMetni"/>
        <w:spacing w:before="50"/>
        <w:rPr>
          <w:b/>
          <w:sz w:val="26"/>
        </w:rPr>
      </w:pPr>
    </w:p>
    <w:p w:rsidR="000C1CC6" w:rsidRDefault="008F18F8">
      <w:pPr>
        <w:ind w:right="137"/>
        <w:jc w:val="center"/>
        <w:rPr>
          <w:b/>
          <w:sz w:val="26"/>
        </w:rPr>
      </w:pPr>
      <w:r>
        <w:rPr>
          <w:b/>
          <w:sz w:val="26"/>
        </w:rPr>
        <w:t>AKTİF</w:t>
      </w:r>
      <w:r>
        <w:rPr>
          <w:b/>
          <w:spacing w:val="-3"/>
          <w:sz w:val="26"/>
        </w:rPr>
        <w:t xml:space="preserve"> </w:t>
      </w:r>
      <w:r>
        <w:rPr>
          <w:b/>
          <w:sz w:val="26"/>
        </w:rPr>
        <w:t>DANIŞMANLIK</w:t>
      </w:r>
      <w:r>
        <w:rPr>
          <w:b/>
          <w:spacing w:val="-3"/>
          <w:sz w:val="26"/>
        </w:rPr>
        <w:t xml:space="preserve"> </w:t>
      </w:r>
      <w:r>
        <w:rPr>
          <w:b/>
          <w:sz w:val="26"/>
        </w:rPr>
        <w:t>SİSTEMİ</w:t>
      </w:r>
      <w:r>
        <w:rPr>
          <w:b/>
          <w:spacing w:val="-3"/>
          <w:sz w:val="26"/>
        </w:rPr>
        <w:t xml:space="preserve"> </w:t>
      </w:r>
      <w:r>
        <w:rPr>
          <w:b/>
          <w:spacing w:val="-2"/>
          <w:sz w:val="26"/>
        </w:rPr>
        <w:t>RAPORU</w:t>
      </w: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rPr>
          <w:b/>
          <w:sz w:val="26"/>
        </w:rPr>
      </w:pPr>
    </w:p>
    <w:p w:rsidR="000C1CC6" w:rsidRDefault="000C1CC6">
      <w:pPr>
        <w:pStyle w:val="GvdeMetni"/>
        <w:spacing w:before="4"/>
        <w:rPr>
          <w:b/>
          <w:sz w:val="26"/>
        </w:rPr>
      </w:pPr>
    </w:p>
    <w:p w:rsidR="000C1CC6" w:rsidRDefault="008F18F8">
      <w:pPr>
        <w:ind w:right="138"/>
        <w:jc w:val="center"/>
        <w:rPr>
          <w:b/>
          <w:sz w:val="24"/>
        </w:rPr>
      </w:pPr>
      <w:r>
        <w:rPr>
          <w:b/>
          <w:spacing w:val="-4"/>
          <w:sz w:val="24"/>
        </w:rPr>
        <w:t>2025</w:t>
      </w:r>
    </w:p>
    <w:p w:rsidR="000C1CC6" w:rsidRDefault="000C1CC6">
      <w:pPr>
        <w:jc w:val="center"/>
        <w:rPr>
          <w:b/>
          <w:sz w:val="24"/>
        </w:rPr>
        <w:sectPr w:rsidR="000C1CC6">
          <w:type w:val="continuous"/>
          <w:pgSz w:w="11910" w:h="16840"/>
          <w:pgMar w:top="1600" w:right="1133" w:bottom="280" w:left="1275" w:header="708" w:footer="708" w:gutter="0"/>
          <w:cols w:space="708"/>
        </w:sectPr>
      </w:pPr>
    </w:p>
    <w:p w:rsidR="000C1CC6" w:rsidRDefault="008F18F8">
      <w:pPr>
        <w:spacing w:before="78"/>
        <w:ind w:right="137"/>
        <w:jc w:val="center"/>
        <w:rPr>
          <w:b/>
          <w:sz w:val="24"/>
        </w:rPr>
      </w:pPr>
      <w:r>
        <w:rPr>
          <w:b/>
          <w:sz w:val="24"/>
        </w:rPr>
        <w:lastRenderedPageBreak/>
        <w:t>AKTİF</w:t>
      </w:r>
      <w:r>
        <w:rPr>
          <w:b/>
          <w:spacing w:val="-4"/>
          <w:sz w:val="24"/>
        </w:rPr>
        <w:t xml:space="preserve"> </w:t>
      </w:r>
      <w:r>
        <w:rPr>
          <w:b/>
          <w:sz w:val="24"/>
        </w:rPr>
        <w:t>DANIŞMANLIK</w:t>
      </w:r>
      <w:r>
        <w:rPr>
          <w:b/>
          <w:spacing w:val="-3"/>
          <w:sz w:val="24"/>
        </w:rPr>
        <w:t xml:space="preserve"> </w:t>
      </w:r>
      <w:r>
        <w:rPr>
          <w:b/>
          <w:sz w:val="24"/>
        </w:rPr>
        <w:t>SİSTEMİ</w:t>
      </w:r>
      <w:r>
        <w:rPr>
          <w:b/>
          <w:spacing w:val="-2"/>
          <w:sz w:val="24"/>
        </w:rPr>
        <w:t xml:space="preserve"> </w:t>
      </w:r>
      <w:r>
        <w:rPr>
          <w:b/>
          <w:sz w:val="24"/>
        </w:rPr>
        <w:t>YARIYIL</w:t>
      </w:r>
      <w:r>
        <w:rPr>
          <w:b/>
          <w:spacing w:val="-2"/>
          <w:sz w:val="24"/>
        </w:rPr>
        <w:t xml:space="preserve"> RAPORU</w:t>
      </w:r>
    </w:p>
    <w:p w:rsidR="000C1CC6" w:rsidRDefault="000C1CC6">
      <w:pPr>
        <w:pStyle w:val="GvdeMetni"/>
        <w:rPr>
          <w:b/>
        </w:rPr>
      </w:pPr>
    </w:p>
    <w:p w:rsidR="000C1CC6" w:rsidRDefault="000C1CC6">
      <w:pPr>
        <w:pStyle w:val="GvdeMetni"/>
        <w:spacing w:before="206"/>
        <w:rPr>
          <w:b/>
        </w:rPr>
      </w:pPr>
    </w:p>
    <w:p w:rsidR="000C1CC6" w:rsidRDefault="008F18F8">
      <w:pPr>
        <w:pStyle w:val="ListeParagraf"/>
        <w:numPr>
          <w:ilvl w:val="0"/>
          <w:numId w:val="1"/>
        </w:numPr>
        <w:tabs>
          <w:tab w:val="left" w:pos="720"/>
        </w:tabs>
        <w:ind w:left="720"/>
        <w:jc w:val="both"/>
        <w:rPr>
          <w:b/>
          <w:sz w:val="24"/>
        </w:rPr>
      </w:pPr>
      <w:r>
        <w:rPr>
          <w:b/>
          <w:sz w:val="24"/>
        </w:rPr>
        <w:t>Raporun</w:t>
      </w:r>
      <w:r>
        <w:rPr>
          <w:b/>
          <w:spacing w:val="-3"/>
          <w:sz w:val="24"/>
        </w:rPr>
        <w:t xml:space="preserve"> </w:t>
      </w:r>
      <w:r>
        <w:rPr>
          <w:b/>
          <w:sz w:val="24"/>
        </w:rPr>
        <w:t>Amacı</w:t>
      </w:r>
      <w:r>
        <w:rPr>
          <w:b/>
          <w:spacing w:val="-3"/>
          <w:sz w:val="24"/>
        </w:rPr>
        <w:t xml:space="preserve"> </w:t>
      </w:r>
      <w:r>
        <w:rPr>
          <w:b/>
          <w:sz w:val="24"/>
        </w:rPr>
        <w:t>ve</w:t>
      </w:r>
      <w:r>
        <w:rPr>
          <w:b/>
          <w:spacing w:val="-2"/>
          <w:sz w:val="24"/>
        </w:rPr>
        <w:t xml:space="preserve"> Kapsamı</w:t>
      </w:r>
    </w:p>
    <w:p w:rsidR="000C1CC6" w:rsidRDefault="008F18F8" w:rsidP="00FF44FD">
      <w:pPr>
        <w:pStyle w:val="GvdeMetni"/>
        <w:spacing w:before="162" w:line="360" w:lineRule="auto"/>
        <w:ind w:right="138" w:firstLine="357"/>
        <w:jc w:val="both"/>
      </w:pPr>
      <w:r>
        <w:t>Bu rapor, 2025-2026 Eğitim-Öğretim Yılı Güz Yarıyılı için Aktif Danışmanlık Sistemi üzerinden elde edilen veriler doğrultusunda, bölümümüzün danışmanlık süreçlerini değerlendirmek</w:t>
      </w:r>
      <w:r>
        <w:rPr>
          <w:spacing w:val="-1"/>
        </w:rPr>
        <w:t xml:space="preserve"> </w:t>
      </w:r>
      <w:r>
        <w:t>amacıyla</w:t>
      </w:r>
      <w:r>
        <w:rPr>
          <w:spacing w:val="-1"/>
        </w:rPr>
        <w:t xml:space="preserve"> </w:t>
      </w:r>
      <w:r>
        <w:t>hazırlanmıştır.</w:t>
      </w:r>
      <w:r>
        <w:rPr>
          <w:spacing w:val="-1"/>
        </w:rPr>
        <w:t xml:space="preserve"> </w:t>
      </w:r>
      <w:r>
        <w:t>Rapor;</w:t>
      </w:r>
      <w:r>
        <w:rPr>
          <w:spacing w:val="-1"/>
        </w:rPr>
        <w:t xml:space="preserve"> </w:t>
      </w:r>
      <w:r>
        <w:t>danışman</w:t>
      </w:r>
      <w:r>
        <w:rPr>
          <w:spacing w:val="-1"/>
        </w:rPr>
        <w:t xml:space="preserve"> </w:t>
      </w:r>
      <w:r>
        <w:t>değerlendirme</w:t>
      </w:r>
      <w:r>
        <w:rPr>
          <w:spacing w:val="-1"/>
        </w:rPr>
        <w:t xml:space="preserve"> </w:t>
      </w:r>
      <w:r>
        <w:t>tablosu</w:t>
      </w:r>
      <w:r>
        <w:rPr>
          <w:spacing w:val="-1"/>
        </w:rPr>
        <w:t xml:space="preserve"> </w:t>
      </w:r>
      <w:r>
        <w:t>ve</w:t>
      </w:r>
      <w:r>
        <w:rPr>
          <w:spacing w:val="-1"/>
        </w:rPr>
        <w:t xml:space="preserve"> </w:t>
      </w:r>
      <w:r>
        <w:t>yarıyıl</w:t>
      </w:r>
      <w:r>
        <w:rPr>
          <w:spacing w:val="-1"/>
        </w:rPr>
        <w:t xml:space="preserve"> </w:t>
      </w:r>
      <w:r>
        <w:t>anket sonuçlarına dayalı olarak oluşturulmuştur.</w:t>
      </w:r>
    </w:p>
    <w:p w:rsidR="000C1CC6" w:rsidRDefault="008F18F8">
      <w:pPr>
        <w:pStyle w:val="ListeParagraf"/>
        <w:numPr>
          <w:ilvl w:val="0"/>
          <w:numId w:val="1"/>
        </w:numPr>
        <w:tabs>
          <w:tab w:val="left" w:pos="714"/>
        </w:tabs>
        <w:ind w:left="714" w:hanging="357"/>
        <w:jc w:val="both"/>
        <w:rPr>
          <w:b/>
          <w:sz w:val="24"/>
        </w:rPr>
      </w:pPr>
      <w:r>
        <w:rPr>
          <w:b/>
          <w:sz w:val="24"/>
        </w:rPr>
        <w:t>Yarıyıl</w:t>
      </w:r>
      <w:r>
        <w:rPr>
          <w:b/>
          <w:spacing w:val="-1"/>
          <w:sz w:val="24"/>
        </w:rPr>
        <w:t xml:space="preserve"> </w:t>
      </w:r>
      <w:r>
        <w:rPr>
          <w:b/>
          <w:sz w:val="24"/>
        </w:rPr>
        <w:t xml:space="preserve">Genel </w:t>
      </w:r>
      <w:r>
        <w:rPr>
          <w:b/>
          <w:spacing w:val="-2"/>
          <w:sz w:val="24"/>
        </w:rPr>
        <w:t>Değerlendirmesi</w:t>
      </w:r>
    </w:p>
    <w:p w:rsidR="000C1CC6" w:rsidRDefault="008F18F8">
      <w:pPr>
        <w:pStyle w:val="ListeParagraf"/>
        <w:numPr>
          <w:ilvl w:val="1"/>
          <w:numId w:val="1"/>
        </w:numPr>
        <w:tabs>
          <w:tab w:val="left" w:pos="720"/>
        </w:tabs>
        <w:spacing w:before="161"/>
        <w:ind w:left="720"/>
        <w:rPr>
          <w:sz w:val="24"/>
        </w:rPr>
      </w:pPr>
      <w:r>
        <w:rPr>
          <w:sz w:val="24"/>
        </w:rPr>
        <w:t>Toplam</w:t>
      </w:r>
      <w:r>
        <w:rPr>
          <w:spacing w:val="-1"/>
          <w:sz w:val="24"/>
        </w:rPr>
        <w:t xml:space="preserve"> </w:t>
      </w:r>
      <w:r>
        <w:rPr>
          <w:sz w:val="24"/>
        </w:rPr>
        <w:t xml:space="preserve">danışman </w:t>
      </w:r>
      <w:r>
        <w:rPr>
          <w:spacing w:val="-2"/>
          <w:sz w:val="24"/>
        </w:rPr>
        <w:t>sayısı:</w:t>
      </w:r>
      <w:r w:rsidR="00E47F02">
        <w:rPr>
          <w:spacing w:val="-2"/>
          <w:sz w:val="24"/>
        </w:rPr>
        <w:t xml:space="preserve"> 3</w:t>
      </w:r>
    </w:p>
    <w:p w:rsidR="000C1CC6" w:rsidRDefault="008F18F8">
      <w:pPr>
        <w:pStyle w:val="ListeParagraf"/>
        <w:numPr>
          <w:ilvl w:val="1"/>
          <w:numId w:val="1"/>
        </w:numPr>
        <w:tabs>
          <w:tab w:val="left" w:pos="720"/>
        </w:tabs>
        <w:spacing w:before="137"/>
        <w:ind w:left="720"/>
        <w:rPr>
          <w:sz w:val="24"/>
        </w:rPr>
      </w:pPr>
      <w:r>
        <w:rPr>
          <w:sz w:val="24"/>
        </w:rPr>
        <w:t>Bölümde</w:t>
      </w:r>
      <w:r>
        <w:rPr>
          <w:spacing w:val="-1"/>
          <w:sz w:val="24"/>
        </w:rPr>
        <w:t xml:space="preserve"> </w:t>
      </w:r>
      <w:r>
        <w:rPr>
          <w:sz w:val="24"/>
        </w:rPr>
        <w:t>kayıtlı</w:t>
      </w:r>
      <w:r>
        <w:rPr>
          <w:spacing w:val="-1"/>
          <w:sz w:val="24"/>
        </w:rPr>
        <w:t xml:space="preserve"> </w:t>
      </w:r>
      <w:r>
        <w:rPr>
          <w:sz w:val="24"/>
        </w:rPr>
        <w:t xml:space="preserve">öğrenci </w:t>
      </w:r>
      <w:r>
        <w:rPr>
          <w:spacing w:val="-2"/>
          <w:sz w:val="24"/>
        </w:rPr>
        <w:t>sayısı:</w:t>
      </w:r>
      <w:r w:rsidR="00E47F02">
        <w:rPr>
          <w:spacing w:val="-2"/>
          <w:sz w:val="24"/>
        </w:rPr>
        <w:t xml:space="preserve"> 130</w:t>
      </w:r>
    </w:p>
    <w:p w:rsidR="000C1CC6" w:rsidRDefault="008F18F8">
      <w:pPr>
        <w:pStyle w:val="ListeParagraf"/>
        <w:numPr>
          <w:ilvl w:val="1"/>
          <w:numId w:val="1"/>
        </w:numPr>
        <w:tabs>
          <w:tab w:val="left" w:pos="720"/>
        </w:tabs>
        <w:spacing w:before="138"/>
        <w:ind w:left="720"/>
        <w:rPr>
          <w:sz w:val="24"/>
        </w:rPr>
      </w:pPr>
      <w:r>
        <w:rPr>
          <w:sz w:val="24"/>
        </w:rPr>
        <w:t>Aktif</w:t>
      </w:r>
      <w:r>
        <w:rPr>
          <w:spacing w:val="-1"/>
          <w:sz w:val="24"/>
        </w:rPr>
        <w:t xml:space="preserve"> </w:t>
      </w:r>
      <w:r>
        <w:rPr>
          <w:sz w:val="24"/>
        </w:rPr>
        <w:t>danışmanlık sistemindeki</w:t>
      </w:r>
      <w:r>
        <w:rPr>
          <w:spacing w:val="-1"/>
          <w:sz w:val="24"/>
        </w:rPr>
        <w:t xml:space="preserve"> </w:t>
      </w:r>
      <w:r>
        <w:rPr>
          <w:sz w:val="24"/>
        </w:rPr>
        <w:t xml:space="preserve">öğrenci </w:t>
      </w:r>
      <w:r>
        <w:rPr>
          <w:spacing w:val="-2"/>
          <w:sz w:val="24"/>
        </w:rPr>
        <w:t>sayısı:</w:t>
      </w:r>
      <w:r w:rsidR="00E47F02">
        <w:rPr>
          <w:spacing w:val="-2"/>
          <w:sz w:val="24"/>
        </w:rPr>
        <w:t xml:space="preserve"> 93</w:t>
      </w:r>
    </w:p>
    <w:p w:rsidR="000C1CC6" w:rsidRDefault="008F18F8">
      <w:pPr>
        <w:pStyle w:val="ListeParagraf"/>
        <w:numPr>
          <w:ilvl w:val="1"/>
          <w:numId w:val="1"/>
        </w:numPr>
        <w:tabs>
          <w:tab w:val="left" w:pos="720"/>
        </w:tabs>
        <w:spacing w:before="137"/>
        <w:ind w:left="720"/>
        <w:rPr>
          <w:sz w:val="24"/>
        </w:rPr>
      </w:pPr>
      <w:r>
        <w:rPr>
          <w:sz w:val="24"/>
        </w:rPr>
        <w:t>Anket</w:t>
      </w:r>
      <w:r>
        <w:rPr>
          <w:spacing w:val="-1"/>
          <w:sz w:val="24"/>
        </w:rPr>
        <w:t xml:space="preserve"> </w:t>
      </w:r>
      <w:r>
        <w:rPr>
          <w:sz w:val="24"/>
        </w:rPr>
        <w:t>dolduran</w:t>
      </w:r>
      <w:r>
        <w:rPr>
          <w:spacing w:val="-1"/>
          <w:sz w:val="24"/>
        </w:rPr>
        <w:t xml:space="preserve"> </w:t>
      </w:r>
      <w:r>
        <w:rPr>
          <w:sz w:val="24"/>
        </w:rPr>
        <w:t xml:space="preserve">öğrenci </w:t>
      </w:r>
      <w:r>
        <w:rPr>
          <w:spacing w:val="-2"/>
          <w:sz w:val="24"/>
        </w:rPr>
        <w:t>sayısı:</w:t>
      </w:r>
      <w:r w:rsidR="00E47F02">
        <w:rPr>
          <w:spacing w:val="-2"/>
          <w:sz w:val="24"/>
        </w:rPr>
        <w:t xml:space="preserve"> 33</w:t>
      </w:r>
    </w:p>
    <w:p w:rsidR="000C1CC6" w:rsidRDefault="008F18F8">
      <w:pPr>
        <w:pStyle w:val="ListeParagraf"/>
        <w:numPr>
          <w:ilvl w:val="1"/>
          <w:numId w:val="1"/>
        </w:numPr>
        <w:tabs>
          <w:tab w:val="left" w:pos="720"/>
        </w:tabs>
        <w:spacing w:before="137"/>
        <w:ind w:left="720"/>
        <w:rPr>
          <w:sz w:val="24"/>
        </w:rPr>
      </w:pPr>
      <w:r>
        <w:rPr>
          <w:sz w:val="24"/>
        </w:rPr>
        <w:t>Anket doldurma</w:t>
      </w:r>
      <w:r>
        <w:rPr>
          <w:spacing w:val="-1"/>
          <w:sz w:val="24"/>
        </w:rPr>
        <w:t xml:space="preserve"> </w:t>
      </w:r>
      <w:r>
        <w:rPr>
          <w:spacing w:val="-2"/>
          <w:sz w:val="24"/>
        </w:rPr>
        <w:t>oranı:</w:t>
      </w:r>
      <w:r w:rsidR="00E47F02">
        <w:rPr>
          <w:spacing w:val="-2"/>
          <w:sz w:val="24"/>
        </w:rPr>
        <w:t xml:space="preserve"> </w:t>
      </w:r>
      <w:r w:rsidR="00E47F02">
        <w:t>%35,5</w:t>
      </w:r>
    </w:p>
    <w:p w:rsidR="000C1CC6" w:rsidRPr="002A4F77" w:rsidRDefault="008F18F8" w:rsidP="002A4F77">
      <w:pPr>
        <w:pStyle w:val="ListeParagraf"/>
        <w:numPr>
          <w:ilvl w:val="1"/>
          <w:numId w:val="1"/>
        </w:numPr>
        <w:tabs>
          <w:tab w:val="left" w:pos="720"/>
        </w:tabs>
        <w:spacing w:before="137" w:after="240"/>
        <w:ind w:left="720"/>
        <w:rPr>
          <w:sz w:val="24"/>
        </w:rPr>
      </w:pPr>
      <w:r>
        <w:rPr>
          <w:sz w:val="24"/>
        </w:rPr>
        <w:t>O</w:t>
      </w:r>
      <w:r>
        <w:rPr>
          <w:sz w:val="24"/>
        </w:rPr>
        <w:t>rtalama</w:t>
      </w:r>
      <w:r>
        <w:rPr>
          <w:spacing w:val="-1"/>
          <w:sz w:val="24"/>
        </w:rPr>
        <w:t xml:space="preserve"> </w:t>
      </w:r>
      <w:r>
        <w:rPr>
          <w:sz w:val="24"/>
        </w:rPr>
        <w:t xml:space="preserve">görüşme </w:t>
      </w:r>
      <w:r>
        <w:rPr>
          <w:spacing w:val="-2"/>
          <w:sz w:val="24"/>
        </w:rPr>
        <w:t>sayısı:</w:t>
      </w:r>
      <w:r w:rsidR="00E47F02">
        <w:rPr>
          <w:spacing w:val="-2"/>
          <w:sz w:val="24"/>
        </w:rPr>
        <w:t xml:space="preserve"> 1-2</w:t>
      </w:r>
    </w:p>
    <w:p w:rsidR="000C1CC6" w:rsidRPr="00FF44FD" w:rsidRDefault="008F18F8" w:rsidP="00FF44FD">
      <w:pPr>
        <w:pStyle w:val="ListeParagraf"/>
        <w:numPr>
          <w:ilvl w:val="0"/>
          <w:numId w:val="1"/>
        </w:numPr>
        <w:tabs>
          <w:tab w:val="left" w:pos="714"/>
        </w:tabs>
        <w:ind w:left="714" w:hanging="357"/>
        <w:rPr>
          <w:b/>
          <w:sz w:val="24"/>
        </w:rPr>
      </w:pPr>
      <w:r>
        <w:rPr>
          <w:b/>
          <w:sz w:val="24"/>
        </w:rPr>
        <w:t>D</w:t>
      </w:r>
      <w:r>
        <w:rPr>
          <w:b/>
          <w:sz w:val="24"/>
        </w:rPr>
        <w:t>anışman</w:t>
      </w:r>
      <w:r>
        <w:rPr>
          <w:b/>
          <w:spacing w:val="-8"/>
          <w:sz w:val="24"/>
        </w:rPr>
        <w:t xml:space="preserve"> </w:t>
      </w:r>
      <w:r>
        <w:rPr>
          <w:b/>
          <w:spacing w:val="-2"/>
          <w:sz w:val="24"/>
        </w:rPr>
        <w:t>Değerlendirmesi</w:t>
      </w:r>
    </w:p>
    <w:p w:rsidR="005A48BA" w:rsidRPr="008A7365" w:rsidRDefault="00A27B10" w:rsidP="005A48BA">
      <w:pPr>
        <w:pStyle w:val="GvdeMetni"/>
        <w:spacing w:before="162" w:line="360" w:lineRule="auto"/>
        <w:ind w:right="138" w:firstLine="357"/>
        <w:jc w:val="both"/>
      </w:pPr>
      <w:proofErr w:type="spellStart"/>
      <w:r>
        <w:t>OGRIS’te</w:t>
      </w:r>
      <w:proofErr w:type="spellEnd"/>
      <w:r>
        <w:t xml:space="preserve"> yer alan Aktif Danışmanlık Sistemindeki </w:t>
      </w:r>
      <w:proofErr w:type="spellStart"/>
      <w:r w:rsidR="005A48BA" w:rsidRPr="008A7365">
        <w:t xml:space="preserve">Danışman </w:t>
      </w:r>
      <w:proofErr w:type="spellEnd"/>
      <w:r w:rsidR="005A48BA" w:rsidRPr="008A7365">
        <w:t xml:space="preserve">Değerlendirme </w:t>
      </w:r>
      <w:proofErr w:type="spellStart"/>
      <w:r w:rsidR="005A48BA" w:rsidRPr="008A7365">
        <w:t>Tablosu’nda</w:t>
      </w:r>
      <w:proofErr w:type="spellEnd"/>
      <w:r w:rsidR="005A48BA" w:rsidRPr="008A7365">
        <w:t xml:space="preserve"> yer alan veriler incelendiğinde, bölümümüzde yürütülen danışmanlık faaliyetlerinin genel olarak </w:t>
      </w:r>
      <w:r w:rsidR="005A48BA" w:rsidRPr="008A7365">
        <w:rPr>
          <w:bCs/>
        </w:rPr>
        <w:t>yeterli ve başarılı</w:t>
      </w:r>
      <w:r w:rsidR="005A48BA" w:rsidRPr="008A7365">
        <w:t xml:space="preserve"> düzeyde olduğu görülmektedir. Danışmanların büyük çoğunluğunun öğrencilerine akademik rehberlik sunduğu, üniversite yaşamına uyum sürecinde destekleyici rol üstlendiği ve ders kayıt süreçlerinde yol gösterdiği anlaşılmaktadır.</w:t>
      </w:r>
    </w:p>
    <w:p w:rsidR="005A48BA" w:rsidRPr="008A7365" w:rsidRDefault="005A48BA" w:rsidP="005A48BA">
      <w:pPr>
        <w:pStyle w:val="GvdeMetni"/>
        <w:spacing w:before="162" w:line="360" w:lineRule="auto"/>
        <w:ind w:right="138" w:firstLine="357"/>
        <w:jc w:val="both"/>
      </w:pPr>
      <w:r w:rsidRPr="008A7365">
        <w:t xml:space="preserve">Rehberlik hizmetleri, üniversite yaşamına uyum, kariyer planlamasına yönelik destek ve değişim programları hakkında bilgilendirme başlıklarında danışmanların önemli bir kısmının </w:t>
      </w:r>
      <w:r w:rsidRPr="008A7365">
        <w:rPr>
          <w:bCs/>
        </w:rPr>
        <w:t>“başarılı”</w:t>
      </w:r>
      <w:r w:rsidRPr="008A7365">
        <w:t xml:space="preserve">, bir kısmının ise </w:t>
      </w:r>
      <w:r w:rsidRPr="008A7365">
        <w:rPr>
          <w:bCs/>
        </w:rPr>
        <w:t>“yeterli”</w:t>
      </w:r>
      <w:r w:rsidRPr="008A7365">
        <w:t xml:space="preserve"> düzeyde değerlendirildiği tespit edilmiştir. Bu durum, danışmanlık hizmetlerinin genel olarak işlevsel biçimde yürütüldüğünü, ancak bazı alanlarda geliştirmeye açık noktalar bulunduğunu göstermektedir.</w:t>
      </w:r>
    </w:p>
    <w:p w:rsidR="005A48BA" w:rsidRPr="008A7365" w:rsidRDefault="005A48BA" w:rsidP="005A48BA">
      <w:pPr>
        <w:pStyle w:val="GvdeMetni"/>
        <w:spacing w:before="162" w:line="360" w:lineRule="auto"/>
        <w:ind w:right="138" w:firstLine="357"/>
        <w:jc w:val="both"/>
      </w:pPr>
      <w:r w:rsidRPr="008A7365">
        <w:t xml:space="preserve">Öğrencilerin danışmanlarıyla </w:t>
      </w:r>
      <w:r w:rsidRPr="008A7365">
        <w:rPr>
          <w:bCs/>
        </w:rPr>
        <w:t>rahat iletişim kurabildikleri</w:t>
      </w:r>
      <w:r w:rsidRPr="008A7365">
        <w:t>, danışmanlara erişim konusunda genel olarak sorun yaşamadıkları ve danışman–öğrenci etkileşiminin sürdürülebilir olduğu görülmektedir. Ders kayıt süreçlerinde danışmanların yönlendirici rol üstlendiği ve öğrencilerin bu süreçte destek aldıkları değerlendirilmektedir.</w:t>
      </w:r>
    </w:p>
    <w:p w:rsidR="005A48BA" w:rsidRPr="008A7365" w:rsidRDefault="005A48BA" w:rsidP="005A48BA">
      <w:pPr>
        <w:pStyle w:val="GvdeMetni"/>
        <w:spacing w:before="162" w:line="360" w:lineRule="auto"/>
        <w:ind w:right="138" w:firstLine="357"/>
        <w:jc w:val="both"/>
      </w:pPr>
      <w:r w:rsidRPr="008A7365">
        <w:t xml:space="preserve">Önceki yarıyıllara ilişkin görüşme sıklıkları incelendiğinde, danışman–öğrenci görüşmelerinin çoğunlukla </w:t>
      </w:r>
      <w:r w:rsidRPr="008A7365">
        <w:rPr>
          <w:bCs/>
        </w:rPr>
        <w:t>1–2 görüşme</w:t>
      </w:r>
      <w:r w:rsidRPr="008A7365">
        <w:t xml:space="preserve"> aralığında gerçekleştiği, bazı danışmanlık ilişkilerinde ise görüşmenin sınırlı kaldığı görülmektedir. Bu durum, öğrencilerin bireysel ihtiyaçlarına göre danışmanlık görüşmelerinin artırılmasının danışmanlık sürecinin etkililiğini güçlendirebileceğine işaret etmektedir.</w:t>
      </w:r>
    </w:p>
    <w:p w:rsidR="005A48BA" w:rsidRPr="005A48BA" w:rsidRDefault="005A48BA" w:rsidP="00FF44FD">
      <w:pPr>
        <w:pStyle w:val="GvdeMetni"/>
        <w:spacing w:before="162" w:line="360" w:lineRule="auto"/>
        <w:ind w:right="138" w:firstLine="357"/>
        <w:jc w:val="both"/>
      </w:pPr>
      <w:r w:rsidRPr="008A7365">
        <w:lastRenderedPageBreak/>
        <w:t xml:space="preserve">Genel olarak danışman değerlendirme sonuçları, danışmanlık faaliyetlerinin bölüm düzeyinde </w:t>
      </w:r>
      <w:r w:rsidRPr="008A7365">
        <w:rPr>
          <w:bCs/>
        </w:rPr>
        <w:t>planlı ve sürdürülebilir</w:t>
      </w:r>
      <w:r w:rsidRPr="008A7365">
        <w:t xml:space="preserve"> biçimde yürütüldüğünü ortaya koymaktadır. Bununla birlikte, kariyer planlaması, değişim programları ve bireysel gelişim odaklı rehberlik faaliyetlerinin daha sistematik hale getirilmesi, danışmanlık hizmetlerinin niteliğini artıracaktır.</w:t>
      </w:r>
    </w:p>
    <w:p w:rsidR="000C1CC6" w:rsidRPr="00FF44FD" w:rsidRDefault="008F18F8" w:rsidP="00FF44FD">
      <w:pPr>
        <w:pStyle w:val="ListeParagraf"/>
        <w:numPr>
          <w:ilvl w:val="0"/>
          <w:numId w:val="1"/>
        </w:numPr>
        <w:tabs>
          <w:tab w:val="left" w:pos="714"/>
        </w:tabs>
        <w:spacing w:before="1"/>
        <w:ind w:left="714" w:hanging="357"/>
        <w:rPr>
          <w:b/>
          <w:sz w:val="24"/>
        </w:rPr>
      </w:pPr>
      <w:r>
        <w:rPr>
          <w:b/>
          <w:sz w:val="24"/>
        </w:rPr>
        <w:t>Yarıyıl</w:t>
      </w:r>
      <w:r>
        <w:rPr>
          <w:b/>
          <w:spacing w:val="-1"/>
          <w:sz w:val="24"/>
        </w:rPr>
        <w:t xml:space="preserve"> </w:t>
      </w:r>
      <w:r>
        <w:rPr>
          <w:b/>
          <w:sz w:val="24"/>
        </w:rPr>
        <w:t>Öğrenci</w:t>
      </w:r>
      <w:r>
        <w:rPr>
          <w:b/>
          <w:spacing w:val="-1"/>
          <w:sz w:val="24"/>
        </w:rPr>
        <w:t xml:space="preserve"> </w:t>
      </w:r>
      <w:r>
        <w:rPr>
          <w:b/>
          <w:sz w:val="24"/>
        </w:rPr>
        <w:t xml:space="preserve">Anket </w:t>
      </w:r>
      <w:r>
        <w:rPr>
          <w:b/>
          <w:spacing w:val="-2"/>
          <w:sz w:val="24"/>
        </w:rPr>
        <w:t>Analizi</w:t>
      </w:r>
    </w:p>
    <w:p w:rsidR="008A7365" w:rsidRPr="00FF44FD" w:rsidRDefault="008A7365" w:rsidP="00FA6A51">
      <w:pPr>
        <w:pStyle w:val="GvdeMetni"/>
        <w:spacing w:before="162" w:line="360" w:lineRule="auto"/>
        <w:ind w:right="138" w:firstLine="357"/>
        <w:jc w:val="both"/>
      </w:pPr>
      <w:r w:rsidRPr="00FF44FD">
        <w:t xml:space="preserve">Yarıyıl öğrenci anketleri incelendiğinde, öğrencilerin akademik başarı düzeylerinin genel olarak </w:t>
      </w:r>
      <w:r w:rsidRPr="00FF44FD">
        <w:rPr>
          <w:bCs/>
        </w:rPr>
        <w:t>orta ve iyi</w:t>
      </w:r>
      <w:r w:rsidRPr="00FF44FD">
        <w:t xml:space="preserve"> seviyelerde yoğunlaştığı görülmektedir. Öğrencilerin not ortalamalarının ağırlıklı olarak </w:t>
      </w:r>
      <w:r w:rsidRPr="00FF44FD">
        <w:rPr>
          <w:bCs/>
        </w:rPr>
        <w:t>2,00–3,50</w:t>
      </w:r>
      <w:r w:rsidRPr="00FF44FD">
        <w:t xml:space="preserve"> aralığında olduğu, bununla birlikte yüksek akademik başarı düzeyine sahip öğrencilerin de bulunduğu tespit edilmiştir. Öğrencilerin büyük bir kısmı genel başarı durumlarını “iyi” ve “çok iyi” olarak değerlendirmiştir.</w:t>
      </w:r>
    </w:p>
    <w:p w:rsidR="008A7365" w:rsidRPr="00FF44FD" w:rsidRDefault="008A7365" w:rsidP="00FA6A51">
      <w:pPr>
        <w:pStyle w:val="GvdeMetni"/>
        <w:spacing w:before="162" w:line="360" w:lineRule="auto"/>
        <w:ind w:right="138" w:firstLine="357"/>
        <w:jc w:val="both"/>
      </w:pPr>
      <w:r w:rsidRPr="00FF44FD">
        <w:t xml:space="preserve">Anket sonuçlarına göre öğrencilerin kendilerini daha başarılı gördükleri derslerin ağırlıklı olarak </w:t>
      </w:r>
      <w:r w:rsidRPr="00FF44FD">
        <w:rPr>
          <w:bCs/>
        </w:rPr>
        <w:t>sosyal hizmet kuramları, insan davranışı ve sosyal çevre, sosyoloji, psikoloji ve uygulamaya dayalı dersler</w:t>
      </w:r>
      <w:r w:rsidRPr="00FF44FD">
        <w:t xml:space="preserve"> olduğu görülmektedir. Buna karşılık, </w:t>
      </w:r>
      <w:r w:rsidRPr="00FF44FD">
        <w:rPr>
          <w:bCs/>
        </w:rPr>
        <w:t>hukukun temel kavramları, sosyal güvenlik, araştırma yöntem ve teknikleri ve girişimcilik</w:t>
      </w:r>
      <w:r w:rsidRPr="00FF44FD">
        <w:t xml:space="preserve"> gibi derslerde öğrencilerin kendilerini daha fazla zorlandıkları yönünde geri bildirimler sundukları tespit edilmiştir. Bazı öğrenciler, özellikle ezbere dayalı değerlendirme yöntemleri ve uygulama derslerinin sınırlılığına dikkat çekmiştir.</w:t>
      </w:r>
    </w:p>
    <w:p w:rsidR="008A7365" w:rsidRPr="00FF44FD" w:rsidRDefault="008A7365" w:rsidP="00FA6A51">
      <w:pPr>
        <w:pStyle w:val="GvdeMetni"/>
        <w:spacing w:before="162" w:line="360" w:lineRule="auto"/>
        <w:ind w:right="138" w:firstLine="357"/>
        <w:jc w:val="both"/>
      </w:pPr>
      <w:r w:rsidRPr="00FF44FD">
        <w:t xml:space="preserve">Öğrencilerin eğitim-öğretim sürecine ilişkin beklentileri incelendiğinde; </w:t>
      </w:r>
      <w:r w:rsidRPr="00FF44FD">
        <w:rPr>
          <w:bCs/>
        </w:rPr>
        <w:t>mesleki yeterlilik kazanma, uygulama ağırlıklı derslerin artırılması, mezuniyet sonrası istihdam ve akademik başarı</w:t>
      </w:r>
      <w:r w:rsidRPr="00FF44FD">
        <w:t xml:space="preserve"> temalarının öne çıktığı görülmektedir. Öğrencilerin önemli bir bölümü, eğitim sürecinin meslek yaşamlarına daha doğrudan katkı sağlamasını beklediklerini ifade etmiştir.</w:t>
      </w:r>
    </w:p>
    <w:p w:rsidR="008A7365" w:rsidRPr="00FF44FD" w:rsidRDefault="008A7365" w:rsidP="00FA6A51">
      <w:pPr>
        <w:pStyle w:val="GvdeMetni"/>
        <w:spacing w:before="162" w:line="360" w:lineRule="auto"/>
        <w:ind w:right="138" w:firstLine="357"/>
        <w:jc w:val="both"/>
      </w:pPr>
      <w:r w:rsidRPr="00FF44FD">
        <w:t xml:space="preserve">Memnuniyet düzeyleri değerlendirildiğinde, öğrencilerin büyük çoğunluğunun bölümden ve eğitim-öğretim sürecinden </w:t>
      </w:r>
      <w:r w:rsidRPr="00FF44FD">
        <w:rPr>
          <w:bCs/>
        </w:rPr>
        <w:t>“memnun” veya “çok memnun”</w:t>
      </w:r>
      <w:r w:rsidRPr="00FF44FD">
        <w:t xml:space="preserve"> olduğu görülmektedir. Bir kısım öğrenci ise memnuniyet düzeyinin önceki döneme göre arttığını belirtmiştir. Bu bulgu, danışmanlık ve akademik destek süreçlerinin öğrenciler üzerindeki olumlu etkisine işaret etmektedir.</w:t>
      </w:r>
    </w:p>
    <w:p w:rsidR="008A7365" w:rsidRPr="00FF44FD" w:rsidRDefault="008A7365" w:rsidP="00FA6A51">
      <w:pPr>
        <w:pStyle w:val="GvdeMetni"/>
        <w:spacing w:before="162" w:line="360" w:lineRule="auto"/>
        <w:ind w:right="138" w:firstLine="357"/>
        <w:jc w:val="both"/>
      </w:pPr>
      <w:r w:rsidRPr="00FF44FD">
        <w:t xml:space="preserve">Anket verileri, öğrencilerin büyük bir kısmının </w:t>
      </w:r>
      <w:r w:rsidRPr="00FF44FD">
        <w:rPr>
          <w:bCs/>
        </w:rPr>
        <w:t xml:space="preserve">burs olanakları, kurs ve sertifika programları, değişim programları, lisansüstü eğitim ve </w:t>
      </w:r>
      <w:proofErr w:type="spellStart"/>
      <w:r w:rsidRPr="00FF44FD">
        <w:rPr>
          <w:bCs/>
        </w:rPr>
        <w:t>part</w:t>
      </w:r>
      <w:proofErr w:type="spellEnd"/>
      <w:r w:rsidRPr="00FF44FD">
        <w:rPr>
          <w:bCs/>
        </w:rPr>
        <w:t>-time çalışma</w:t>
      </w:r>
      <w:r w:rsidRPr="00FF44FD">
        <w:t xml:space="preserve"> gibi alanlara yönlendirilmeye uygun olduğunu göstermektedir. Ayrıca öğrencilerin sosyal sorumluluk faaliyetleri ve öğrenci topluluklarına katılım düzeylerinin görece yüksek olduğu, bu durumun sosyal hizmet eğitiminin hedefleriyle uyumlu olduğu değerlendirilmektedir.</w:t>
      </w:r>
    </w:p>
    <w:p w:rsidR="00FA6A51" w:rsidRDefault="008A7365" w:rsidP="00FF44FD">
      <w:pPr>
        <w:pStyle w:val="GvdeMetni"/>
        <w:spacing w:before="162" w:line="360" w:lineRule="auto"/>
        <w:ind w:right="138" w:firstLine="357"/>
        <w:jc w:val="both"/>
      </w:pPr>
      <w:r>
        <w:t>Genel olarak yarıyıl öğrenci anketi sonuçları, öğrencilerin akademik gelişimlerinin desteklenmesi, uygulama temelli öğrenme olanaklarının artırılması ve kariyer planlamaya yönelik rehberliğin güçlendirilmesinin danışmanlık sürecinin etkililiğini artıracağını ortaya koymaktadır.</w:t>
      </w:r>
    </w:p>
    <w:p w:rsidR="008F18F8" w:rsidRDefault="008F18F8" w:rsidP="00FF44FD">
      <w:pPr>
        <w:pStyle w:val="GvdeMetni"/>
        <w:spacing w:before="162" w:line="360" w:lineRule="auto"/>
        <w:ind w:right="138" w:firstLine="357"/>
        <w:jc w:val="both"/>
      </w:pPr>
    </w:p>
    <w:p w:rsidR="008F18F8" w:rsidRPr="00FA6A51" w:rsidRDefault="008F18F8" w:rsidP="00FF44FD">
      <w:pPr>
        <w:pStyle w:val="GvdeMetni"/>
        <w:spacing w:before="162" w:line="360" w:lineRule="auto"/>
        <w:ind w:right="138" w:firstLine="357"/>
        <w:jc w:val="both"/>
      </w:pPr>
      <w:bookmarkStart w:id="0" w:name="_GoBack"/>
      <w:bookmarkEnd w:id="0"/>
    </w:p>
    <w:p w:rsidR="00FF44FD" w:rsidRPr="00FF44FD" w:rsidRDefault="008F18F8" w:rsidP="00FF44FD">
      <w:pPr>
        <w:pStyle w:val="ListeParagraf"/>
        <w:numPr>
          <w:ilvl w:val="0"/>
          <w:numId w:val="1"/>
        </w:numPr>
        <w:tabs>
          <w:tab w:val="left" w:pos="714"/>
        </w:tabs>
        <w:ind w:left="714" w:hanging="357"/>
        <w:rPr>
          <w:b/>
          <w:sz w:val="24"/>
        </w:rPr>
      </w:pPr>
      <w:r>
        <w:rPr>
          <w:b/>
          <w:sz w:val="24"/>
        </w:rPr>
        <w:t xml:space="preserve">Sonuç ve </w:t>
      </w:r>
      <w:r>
        <w:rPr>
          <w:b/>
          <w:spacing w:val="-2"/>
          <w:sz w:val="24"/>
        </w:rPr>
        <w:t>Öneriler</w:t>
      </w:r>
    </w:p>
    <w:p w:rsidR="00FF44FD" w:rsidRPr="00FF44FD" w:rsidRDefault="00FF44FD" w:rsidP="00FF44FD">
      <w:pPr>
        <w:pStyle w:val="GvdeMetni"/>
        <w:spacing w:before="162" w:line="360" w:lineRule="auto"/>
        <w:ind w:right="138" w:firstLine="357"/>
        <w:jc w:val="both"/>
      </w:pPr>
      <w:r w:rsidRPr="00FF44FD">
        <w:t>2025–2026 Eğitim-Öğretim Yılı Güz Yarıyılı kapsamında yürütülen Aktif Danışmanlık Sistemi uygulamaları genel olarak değerlendirildiğinde, danışmanlık süreçlerinin bölüm düzeyinde planlı, sürdürülebilir ve işlevsel biçimde yürütüldüğü görülmektedir. Danışman değerlendirme sonuçları ve öğrenci yarıyıl anketleri birlikte ele alındığında, öğrencilerin danışmanlarıyla iletişim kurabildikleri, akademik süreçlerde destek aldıkları ve danışmanlık hizmetlerinden genel olarak memnun oldukları tespit edilmiştir.</w:t>
      </w:r>
    </w:p>
    <w:p w:rsidR="00FF44FD" w:rsidRPr="00FF44FD" w:rsidRDefault="00FF44FD" w:rsidP="00FF44FD">
      <w:pPr>
        <w:pStyle w:val="GvdeMetni"/>
        <w:spacing w:before="162" w:line="360" w:lineRule="auto"/>
        <w:ind w:right="138" w:firstLine="357"/>
        <w:jc w:val="both"/>
      </w:pPr>
      <w:r w:rsidRPr="00FF44FD">
        <w:t>Öğrenci anketleri, öğrencilerin akademik başarı düzeylerinin çoğunlukla orta ve iyi seviyelerde yoğunlaştığını, buna karşın bazı derslerde zorlanma yaşandığını ve özellikle uygulama temelli öğrenme beklentilerinin öne çıktığını göstermektedir. Öğrencilerin önemli bir kısmı, eğitim sürecinin mesleki yeterlilik kazandırma, uygulama deneyimi sağlama ve kariyer planlamayı destekleme açısından güçlendirilmesine yönelik beklentilerini dile getirmiştir.</w:t>
      </w:r>
    </w:p>
    <w:p w:rsidR="00FF44FD" w:rsidRPr="00FF44FD" w:rsidRDefault="00FF44FD" w:rsidP="00FF44FD">
      <w:pPr>
        <w:pStyle w:val="GvdeMetni"/>
        <w:spacing w:before="162" w:line="360" w:lineRule="auto"/>
        <w:ind w:right="138" w:firstLine="357"/>
        <w:jc w:val="both"/>
      </w:pPr>
      <w:r w:rsidRPr="00FF44FD">
        <w:t>Bu bulgular doğrultusunda aşağıdaki öneriler geliştirilmiştir:</w:t>
      </w:r>
    </w:p>
    <w:p w:rsidR="00FF44FD" w:rsidRPr="00FF44FD" w:rsidRDefault="00FF44FD" w:rsidP="00FF44FD">
      <w:pPr>
        <w:pStyle w:val="GvdeMetni"/>
        <w:numPr>
          <w:ilvl w:val="0"/>
          <w:numId w:val="2"/>
        </w:numPr>
        <w:spacing w:before="162" w:line="360" w:lineRule="auto"/>
        <w:ind w:right="138"/>
        <w:jc w:val="both"/>
      </w:pPr>
      <w:r w:rsidRPr="00FF44FD">
        <w:t>Danışman–öğrenci görüşmelerinin, öğrencilerin bireysel ihtiyaçları doğrultusunda daha düzenli ve planlı hale getirilmesi,</w:t>
      </w:r>
    </w:p>
    <w:p w:rsidR="00FF44FD" w:rsidRPr="00FF44FD" w:rsidRDefault="00FF44FD" w:rsidP="00FF44FD">
      <w:pPr>
        <w:pStyle w:val="GvdeMetni"/>
        <w:numPr>
          <w:ilvl w:val="0"/>
          <w:numId w:val="2"/>
        </w:numPr>
        <w:spacing w:before="162" w:line="360" w:lineRule="auto"/>
        <w:ind w:right="138"/>
        <w:jc w:val="both"/>
      </w:pPr>
      <w:r w:rsidRPr="00FF44FD">
        <w:t>Kariyer planlaması, lisansüstü eğitim olanakları ve mezuniyet sonrası istihdam süreçlerine yönelik rehberlik faaliyetlerinin artırılması,</w:t>
      </w:r>
    </w:p>
    <w:p w:rsidR="00FF44FD" w:rsidRPr="00FF44FD" w:rsidRDefault="00FF44FD" w:rsidP="00FF44FD">
      <w:pPr>
        <w:pStyle w:val="GvdeMetni"/>
        <w:numPr>
          <w:ilvl w:val="0"/>
          <w:numId w:val="2"/>
        </w:numPr>
        <w:spacing w:before="162" w:line="360" w:lineRule="auto"/>
        <w:ind w:right="138"/>
        <w:jc w:val="both"/>
      </w:pPr>
      <w:r w:rsidRPr="00FF44FD">
        <w:t>Öğrencilerin zorlandıkları derslere ilişkin akademik destek mekanizmalarının güçlendirilmesi,</w:t>
      </w:r>
    </w:p>
    <w:p w:rsidR="00FF44FD" w:rsidRPr="00FF44FD" w:rsidRDefault="00FF44FD" w:rsidP="00FF44FD">
      <w:pPr>
        <w:pStyle w:val="GvdeMetni"/>
        <w:numPr>
          <w:ilvl w:val="0"/>
          <w:numId w:val="2"/>
        </w:numPr>
        <w:spacing w:before="162" w:line="360" w:lineRule="auto"/>
        <w:ind w:right="138"/>
        <w:jc w:val="both"/>
      </w:pPr>
      <w:r w:rsidRPr="00FF44FD">
        <w:t>Uygulama ağırlıklı derslerin ve saha deneyimlerinin artırılmasına yönelik çalışmaların desteklenmesi,</w:t>
      </w:r>
    </w:p>
    <w:p w:rsidR="00FF44FD" w:rsidRPr="00FF44FD" w:rsidRDefault="00FF44FD" w:rsidP="00FF44FD">
      <w:pPr>
        <w:pStyle w:val="GvdeMetni"/>
        <w:numPr>
          <w:ilvl w:val="0"/>
          <w:numId w:val="2"/>
        </w:numPr>
        <w:spacing w:before="162" w:line="360" w:lineRule="auto"/>
        <w:ind w:right="138"/>
        <w:jc w:val="both"/>
      </w:pPr>
      <w:r w:rsidRPr="00FF44FD">
        <w:t>Öğrencilerin değişim programları, kurs ve sertifika programları ile sosyal sorumluluk faaliyetlerine yönlendirilmesinin sürdürülmesi,</w:t>
      </w:r>
    </w:p>
    <w:p w:rsidR="00FF44FD" w:rsidRPr="00FF44FD" w:rsidRDefault="00FF44FD" w:rsidP="00FF44FD">
      <w:pPr>
        <w:pStyle w:val="GvdeMetni"/>
        <w:numPr>
          <w:ilvl w:val="0"/>
          <w:numId w:val="2"/>
        </w:numPr>
        <w:spacing w:before="162" w:line="360" w:lineRule="auto"/>
        <w:ind w:right="138"/>
        <w:jc w:val="both"/>
      </w:pPr>
      <w:r w:rsidRPr="00FF44FD">
        <w:t>Yarıyıl öğrenci anketlerine katılım oranının artırılması amacıyla anket sürecine ilişkin bilgilendirme ve farkındalık çalışmalarının güçlendirilmesi.</w:t>
      </w:r>
    </w:p>
    <w:p w:rsidR="00FF44FD" w:rsidRPr="00FF44FD" w:rsidRDefault="00FF44FD" w:rsidP="00FF44FD">
      <w:pPr>
        <w:pStyle w:val="GvdeMetni"/>
        <w:numPr>
          <w:ilvl w:val="0"/>
          <w:numId w:val="2"/>
        </w:numPr>
        <w:spacing w:before="162" w:line="360" w:lineRule="auto"/>
        <w:ind w:right="138"/>
        <w:jc w:val="both"/>
      </w:pPr>
      <w:r w:rsidRPr="00FF44FD">
        <w:t>Sonuç olarak, Aktif Danışmanlık Sistemi’nin bölümde genel olarak etkili biçimde işlediği, ancak danışmanlık faaliyetlerinin niteliğini artırmaya yönelik yapılacak iyileştirmelerin öğrencilerin akademik, mesleki ve kişisel gelişimlerine olumlu katkı sağlayacağı değerlendirilmektedir.</w:t>
      </w:r>
    </w:p>
    <w:sectPr w:rsidR="00FF44FD" w:rsidRPr="00FF44FD">
      <w:pgSz w:w="11910" w:h="16840"/>
      <w:pgMar w:top="1180" w:right="1133"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816C1"/>
    <w:multiLevelType w:val="hybridMultilevel"/>
    <w:tmpl w:val="2230EBEE"/>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 w15:restartNumberingAfterBreak="0">
    <w:nsid w:val="50E51E81"/>
    <w:multiLevelType w:val="hybridMultilevel"/>
    <w:tmpl w:val="C0866FD6"/>
    <w:lvl w:ilvl="0" w:tplc="F53471AA">
      <w:start w:val="1"/>
      <w:numFmt w:val="decimal"/>
      <w:lvlText w:val="%1."/>
      <w:lvlJc w:val="left"/>
      <w:pPr>
        <w:ind w:left="72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08B8F650">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2" w:tplc="E8721304">
      <w:numFmt w:val="bullet"/>
      <w:lvlText w:val="•"/>
      <w:lvlJc w:val="left"/>
      <w:pPr>
        <w:ind w:left="2475" w:hanging="360"/>
      </w:pPr>
      <w:rPr>
        <w:rFonts w:hint="default"/>
        <w:lang w:val="tr-TR" w:eastAsia="en-US" w:bidi="ar-SA"/>
      </w:rPr>
    </w:lvl>
    <w:lvl w:ilvl="3" w:tplc="C400A8C8">
      <w:numFmt w:val="bullet"/>
      <w:lvlText w:val="•"/>
      <w:lvlJc w:val="left"/>
      <w:pPr>
        <w:ind w:left="3353" w:hanging="360"/>
      </w:pPr>
      <w:rPr>
        <w:rFonts w:hint="default"/>
        <w:lang w:val="tr-TR" w:eastAsia="en-US" w:bidi="ar-SA"/>
      </w:rPr>
    </w:lvl>
    <w:lvl w:ilvl="4" w:tplc="849CDD52">
      <w:numFmt w:val="bullet"/>
      <w:lvlText w:val="•"/>
      <w:lvlJc w:val="left"/>
      <w:pPr>
        <w:ind w:left="4231" w:hanging="360"/>
      </w:pPr>
      <w:rPr>
        <w:rFonts w:hint="default"/>
        <w:lang w:val="tr-TR" w:eastAsia="en-US" w:bidi="ar-SA"/>
      </w:rPr>
    </w:lvl>
    <w:lvl w:ilvl="5" w:tplc="25EACD7C">
      <w:numFmt w:val="bullet"/>
      <w:lvlText w:val="•"/>
      <w:lvlJc w:val="left"/>
      <w:pPr>
        <w:ind w:left="5109" w:hanging="360"/>
      </w:pPr>
      <w:rPr>
        <w:rFonts w:hint="default"/>
        <w:lang w:val="tr-TR" w:eastAsia="en-US" w:bidi="ar-SA"/>
      </w:rPr>
    </w:lvl>
    <w:lvl w:ilvl="6" w:tplc="B3D8EA5A">
      <w:numFmt w:val="bullet"/>
      <w:lvlText w:val="•"/>
      <w:lvlJc w:val="left"/>
      <w:pPr>
        <w:ind w:left="5986" w:hanging="360"/>
      </w:pPr>
      <w:rPr>
        <w:rFonts w:hint="default"/>
        <w:lang w:val="tr-TR" w:eastAsia="en-US" w:bidi="ar-SA"/>
      </w:rPr>
    </w:lvl>
    <w:lvl w:ilvl="7" w:tplc="0DD4E7C2">
      <w:numFmt w:val="bullet"/>
      <w:lvlText w:val="•"/>
      <w:lvlJc w:val="left"/>
      <w:pPr>
        <w:ind w:left="6864" w:hanging="360"/>
      </w:pPr>
      <w:rPr>
        <w:rFonts w:hint="default"/>
        <w:lang w:val="tr-TR" w:eastAsia="en-US" w:bidi="ar-SA"/>
      </w:rPr>
    </w:lvl>
    <w:lvl w:ilvl="8" w:tplc="B0EE40DE">
      <w:numFmt w:val="bullet"/>
      <w:lvlText w:val="•"/>
      <w:lvlJc w:val="left"/>
      <w:pPr>
        <w:ind w:left="7742"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C6"/>
    <w:rsid w:val="000C1CC6"/>
    <w:rsid w:val="002A4F77"/>
    <w:rsid w:val="004259EF"/>
    <w:rsid w:val="005A48BA"/>
    <w:rsid w:val="006B4246"/>
    <w:rsid w:val="00714F81"/>
    <w:rsid w:val="00770FF4"/>
    <w:rsid w:val="00775510"/>
    <w:rsid w:val="008A7365"/>
    <w:rsid w:val="008F18F8"/>
    <w:rsid w:val="00A27B10"/>
    <w:rsid w:val="00AA1F9A"/>
    <w:rsid w:val="00B94E0C"/>
    <w:rsid w:val="00CA2FAB"/>
    <w:rsid w:val="00E47F02"/>
    <w:rsid w:val="00E57B5F"/>
    <w:rsid w:val="00FA6A51"/>
    <w:rsid w:val="00FF44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A6DF"/>
  <w15:docId w15:val="{1252039F-1CEC-41A9-AF8F-57BC00FB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A48BA"/>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5A4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999096">
      <w:bodyDiv w:val="1"/>
      <w:marLeft w:val="0"/>
      <w:marRight w:val="0"/>
      <w:marTop w:val="0"/>
      <w:marBottom w:val="0"/>
      <w:divBdr>
        <w:top w:val="none" w:sz="0" w:space="0" w:color="auto"/>
        <w:left w:val="none" w:sz="0" w:space="0" w:color="auto"/>
        <w:bottom w:val="none" w:sz="0" w:space="0" w:color="auto"/>
        <w:right w:val="none" w:sz="0" w:space="0" w:color="auto"/>
      </w:divBdr>
    </w:div>
    <w:div w:id="2047177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dc:creator>
  <cp:lastModifiedBy>Anıl Mayda</cp:lastModifiedBy>
  <cp:revision>3</cp:revision>
  <dcterms:created xsi:type="dcterms:W3CDTF">2026-02-04T11:14:00Z</dcterms:created>
  <dcterms:modified xsi:type="dcterms:W3CDTF">2026-02-04T11:15:00Z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Microsoft Office Word</vt:lpwstr>
  </property>
  <property fmtid="{D5CDD505-2E9C-101B-9397-08002B2CF9AE}" pid="4" name="LastSaved">
    <vt:filetime>2026-02-04T00:00:00Z</vt:filetime>
  </property>
  <property fmtid="{D5CDD505-2E9C-101B-9397-08002B2CF9AE}" pid="5" name="Producer">
    <vt:lpwstr>Aspose.Words for .NET 22.9.0</vt:lpwstr>
  </property>
</Properties>
</file>