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176A" w:rsidRDefault="00843B34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pacing w:val="-1"/>
          <w:sz w:val="24"/>
        </w:rPr>
        <w:t>T.C.</w:t>
      </w:r>
    </w:p>
    <w:p w:rsidR="0034176A" w:rsidRDefault="00843B34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</w:rPr>
        <w:t>NİĞDE ÖMER HALİSDEMİR ÜNİVERSİTESİ TIP FAKÜLTESİ</w:t>
      </w:r>
    </w:p>
    <w:p w:rsidR="0034176A" w:rsidRDefault="00843B34">
      <w:pPr>
        <w:spacing w:line="36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4"/>
        </w:rPr>
        <w:t xml:space="preserve">DÖNEM 5 </w:t>
      </w:r>
      <w:r w:rsidR="00383228">
        <w:rPr>
          <w:rFonts w:ascii="Times New Roman" w:eastAsia="Times New Roman" w:hAnsi="Times New Roman" w:cs="Times New Roman"/>
          <w:b/>
          <w:color w:val="000000"/>
          <w:sz w:val="24"/>
        </w:rPr>
        <w:t xml:space="preserve">TIP5004 </w:t>
      </w:r>
      <w:r>
        <w:rPr>
          <w:rFonts w:ascii="Times New Roman" w:eastAsia="Times New Roman" w:hAnsi="Times New Roman" w:cs="Times New Roman"/>
          <w:b/>
          <w:sz w:val="24"/>
        </w:rPr>
        <w:t xml:space="preserve">PSİKİYATRİ </w:t>
      </w:r>
      <w:r w:rsidR="00383228">
        <w:rPr>
          <w:rFonts w:ascii="Times New Roman" w:eastAsia="Times New Roman" w:hAnsi="Times New Roman" w:cs="Times New Roman"/>
          <w:b/>
          <w:sz w:val="24"/>
        </w:rPr>
        <w:t>UYGULAMA EĞİTİMİ</w:t>
      </w:r>
      <w:r>
        <w:rPr>
          <w:rFonts w:ascii="Times New Roman" w:eastAsia="Times New Roman" w:hAnsi="Times New Roman" w:cs="Times New Roman"/>
          <w:b/>
          <w:sz w:val="24"/>
        </w:rPr>
        <w:t xml:space="preserve"> DERS PROGRAMI </w:t>
      </w:r>
    </w:p>
    <w:p w:rsidR="0034176A" w:rsidRDefault="0034176A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</w:rPr>
      </w:pPr>
    </w:p>
    <w:tbl>
      <w:tblPr>
        <w:tblStyle w:val="TabloKlavuzu"/>
        <w:tblW w:w="9333" w:type="dxa"/>
        <w:tblLook w:val="04A0" w:firstRow="1" w:lastRow="0" w:firstColumn="1" w:lastColumn="0" w:noHBand="0" w:noVBand="1"/>
      </w:tblPr>
      <w:tblGrid>
        <w:gridCol w:w="1941"/>
        <w:gridCol w:w="1834"/>
        <w:gridCol w:w="1753"/>
        <w:gridCol w:w="2051"/>
        <w:gridCol w:w="1754"/>
      </w:tblGrid>
      <w:tr w:rsidR="009838DF" w:rsidRPr="00A30930" w:rsidTr="009838DF">
        <w:trPr>
          <w:trHeight w:val="367"/>
        </w:trPr>
        <w:tc>
          <w:tcPr>
            <w:tcW w:w="9333" w:type="dxa"/>
            <w:gridSpan w:val="5"/>
          </w:tcPr>
          <w:p w:rsidR="009838DF" w:rsidRPr="00A30930" w:rsidRDefault="009838DF" w:rsidP="006878EB">
            <w:pPr>
              <w:autoSpaceDE w:val="0"/>
              <w:autoSpaceDN w:val="0"/>
              <w:adjustRightInd w:val="0"/>
              <w:spacing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 HALİ</w:t>
            </w:r>
          </w:p>
        </w:tc>
      </w:tr>
      <w:tr w:rsidR="009838DF" w:rsidRPr="00A30930" w:rsidTr="009838DF">
        <w:trPr>
          <w:trHeight w:val="381"/>
        </w:trPr>
        <w:tc>
          <w:tcPr>
            <w:tcW w:w="1941" w:type="dxa"/>
            <w:vMerge w:val="restart"/>
          </w:tcPr>
          <w:p w:rsidR="009838DF" w:rsidRPr="00A30930" w:rsidRDefault="009838DF" w:rsidP="006878E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Süre (Hafta)</w:t>
            </w:r>
          </w:p>
        </w:tc>
        <w:tc>
          <w:tcPr>
            <w:tcW w:w="5638" w:type="dxa"/>
            <w:gridSpan w:val="3"/>
          </w:tcPr>
          <w:p w:rsidR="009838DF" w:rsidRPr="00A30930" w:rsidRDefault="009838DF" w:rsidP="006878E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Ders Saatleri</w:t>
            </w:r>
          </w:p>
        </w:tc>
        <w:tc>
          <w:tcPr>
            <w:tcW w:w="1753" w:type="dxa"/>
            <w:vMerge w:val="restart"/>
          </w:tcPr>
          <w:p w:rsidR="009838DF" w:rsidRPr="00A30930" w:rsidRDefault="009838DF" w:rsidP="006878E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AKTS</w:t>
            </w:r>
          </w:p>
        </w:tc>
      </w:tr>
      <w:tr w:rsidR="009838DF" w:rsidRPr="00A30930" w:rsidTr="009838DF">
        <w:trPr>
          <w:trHeight w:val="381"/>
        </w:trPr>
        <w:tc>
          <w:tcPr>
            <w:tcW w:w="1941" w:type="dxa"/>
            <w:vMerge/>
          </w:tcPr>
          <w:p w:rsidR="009838DF" w:rsidRPr="00A30930" w:rsidRDefault="009838DF" w:rsidP="006878E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1834" w:type="dxa"/>
          </w:tcPr>
          <w:p w:rsidR="009838DF" w:rsidRPr="00A30930" w:rsidRDefault="009838DF" w:rsidP="006878E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Teorik</w:t>
            </w:r>
          </w:p>
        </w:tc>
        <w:tc>
          <w:tcPr>
            <w:tcW w:w="1753" w:type="dxa"/>
          </w:tcPr>
          <w:p w:rsidR="009838DF" w:rsidRPr="00A30930" w:rsidRDefault="009838DF" w:rsidP="006878E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Pratik</w:t>
            </w:r>
          </w:p>
        </w:tc>
        <w:tc>
          <w:tcPr>
            <w:tcW w:w="2050" w:type="dxa"/>
          </w:tcPr>
          <w:p w:rsidR="009838DF" w:rsidRPr="00A30930" w:rsidRDefault="009838DF" w:rsidP="006878E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30930">
              <w:rPr>
                <w:rFonts w:ascii="Times New Roman" w:hAnsi="Times New Roman" w:cs="Times New Roman"/>
                <w:b/>
                <w:bCs/>
              </w:rPr>
              <w:t>Toplam</w:t>
            </w:r>
          </w:p>
        </w:tc>
        <w:tc>
          <w:tcPr>
            <w:tcW w:w="1753" w:type="dxa"/>
            <w:vMerge/>
          </w:tcPr>
          <w:p w:rsidR="009838DF" w:rsidRPr="00A30930" w:rsidRDefault="009838DF" w:rsidP="006878EB">
            <w:pPr>
              <w:pStyle w:val="Default"/>
              <w:spacing w:line="360" w:lineRule="auto"/>
              <w:jc w:val="center"/>
              <w:rPr>
                <w:rFonts w:ascii="Times New Roman" w:hAnsi="Times New Roman" w:cs="Times New Roman"/>
                <w:b/>
                <w:bCs/>
              </w:rPr>
            </w:pPr>
          </w:p>
        </w:tc>
      </w:tr>
      <w:tr w:rsidR="009838DF" w:rsidRPr="00A30930" w:rsidTr="009838DF">
        <w:trPr>
          <w:trHeight w:val="734"/>
        </w:trPr>
        <w:tc>
          <w:tcPr>
            <w:tcW w:w="1941" w:type="dxa"/>
          </w:tcPr>
          <w:p w:rsidR="009838DF" w:rsidRDefault="009838DF" w:rsidP="006878E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4</w:t>
            </w:r>
          </w:p>
        </w:tc>
        <w:tc>
          <w:tcPr>
            <w:tcW w:w="1834" w:type="dxa"/>
          </w:tcPr>
          <w:p w:rsidR="009838DF" w:rsidRDefault="009838DF" w:rsidP="009838DF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56</w:t>
            </w:r>
          </w:p>
        </w:tc>
        <w:tc>
          <w:tcPr>
            <w:tcW w:w="1753" w:type="dxa"/>
          </w:tcPr>
          <w:p w:rsidR="009838DF" w:rsidRDefault="009838DF" w:rsidP="006878EB">
            <w:pPr>
              <w:spacing w:line="36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62</w:t>
            </w:r>
          </w:p>
          <w:p w:rsidR="009838DF" w:rsidRDefault="009838DF" w:rsidP="006878EB">
            <w:pPr>
              <w:spacing w:line="360" w:lineRule="auto"/>
              <w:jc w:val="center"/>
            </w:pPr>
          </w:p>
        </w:tc>
        <w:tc>
          <w:tcPr>
            <w:tcW w:w="2050" w:type="dxa"/>
          </w:tcPr>
          <w:p w:rsidR="009838DF" w:rsidRDefault="009838DF" w:rsidP="006878E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118</w:t>
            </w:r>
          </w:p>
        </w:tc>
        <w:tc>
          <w:tcPr>
            <w:tcW w:w="1753" w:type="dxa"/>
          </w:tcPr>
          <w:p w:rsidR="009838DF" w:rsidRDefault="009838DF" w:rsidP="006878EB">
            <w:pPr>
              <w:spacing w:line="360" w:lineRule="auto"/>
              <w:jc w:val="center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7</w:t>
            </w:r>
          </w:p>
        </w:tc>
      </w:tr>
    </w:tbl>
    <w:p w:rsidR="00383228" w:rsidRPr="00A30930" w:rsidRDefault="00383228" w:rsidP="003832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</w:p>
    <w:p w:rsidR="00383228" w:rsidRPr="00A30930" w:rsidRDefault="009B4233" w:rsidP="00383228">
      <w:pPr>
        <w:pStyle w:val="Default"/>
        <w:spacing w:line="360" w:lineRule="auto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eastAsia="Times New Roman" w:hAnsi="Times New Roman" w:cs="Times New Roman"/>
          <w:b/>
        </w:rPr>
        <w:t xml:space="preserve">TIP5004 </w:t>
      </w:r>
      <w:r w:rsidR="006878EB">
        <w:rPr>
          <w:rFonts w:ascii="Times New Roman" w:eastAsia="Times New Roman" w:hAnsi="Times New Roman" w:cs="Times New Roman"/>
          <w:b/>
        </w:rPr>
        <w:t xml:space="preserve">PSİKİYATRİ </w:t>
      </w:r>
      <w:r w:rsidR="00383228" w:rsidRPr="005423C0">
        <w:rPr>
          <w:rFonts w:ascii="Times New Roman" w:hAnsi="Times New Roman" w:cs="Times New Roman"/>
          <w:b/>
        </w:rPr>
        <w:t xml:space="preserve">UYGULAMA EĞİTİMİ </w:t>
      </w:r>
      <w:r w:rsidR="00383228" w:rsidRPr="005423C0">
        <w:rPr>
          <w:rFonts w:ascii="Times New Roman" w:hAnsi="Times New Roman" w:cs="Times New Roman"/>
          <w:b/>
          <w:bCs/>
        </w:rPr>
        <w:t xml:space="preserve"> </w:t>
      </w:r>
      <w:r w:rsidR="00383228">
        <w:rPr>
          <w:rFonts w:ascii="Times New Roman" w:hAnsi="Times New Roman" w:cs="Times New Roman"/>
          <w:b/>
          <w:bCs/>
        </w:rPr>
        <w:t>KONULARI</w:t>
      </w:r>
    </w:p>
    <w:tbl>
      <w:tblPr>
        <w:tblW w:w="9605" w:type="dxa"/>
        <w:tblInd w:w="-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900"/>
        <w:gridCol w:w="992"/>
        <w:gridCol w:w="694"/>
        <w:gridCol w:w="19"/>
      </w:tblGrid>
      <w:tr w:rsidR="009838DF" w:rsidRPr="00A30930" w:rsidTr="009838DF">
        <w:trPr>
          <w:trHeight w:val="100"/>
        </w:trPr>
        <w:tc>
          <w:tcPr>
            <w:tcW w:w="9605" w:type="dxa"/>
            <w:gridSpan w:val="4"/>
          </w:tcPr>
          <w:p w:rsidR="009838DF" w:rsidRPr="00A30930" w:rsidRDefault="009838DF" w:rsidP="00CD2E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GÜNCEL HALİ</w:t>
            </w: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Pr="00A30930" w:rsidRDefault="009838DF" w:rsidP="00CD2E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Konu </w:t>
            </w:r>
          </w:p>
        </w:tc>
        <w:tc>
          <w:tcPr>
            <w:tcW w:w="992" w:type="dxa"/>
          </w:tcPr>
          <w:p w:rsidR="009838DF" w:rsidRPr="00A30930" w:rsidRDefault="009838DF" w:rsidP="00CD2E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T</w:t>
            </w:r>
          </w:p>
        </w:tc>
        <w:tc>
          <w:tcPr>
            <w:tcW w:w="694" w:type="dxa"/>
          </w:tcPr>
          <w:p w:rsidR="009838DF" w:rsidRPr="00A30930" w:rsidRDefault="009838DF" w:rsidP="00CD2E11">
            <w:pPr>
              <w:autoSpaceDE w:val="0"/>
              <w:autoSpaceDN w:val="0"/>
              <w:adjustRightInd w:val="0"/>
              <w:spacing w:after="0" w:line="360" w:lineRule="auto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A30930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P </w:t>
            </w: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Agorafobi/özgül fobiler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Akut ve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travma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sonrası stres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bozukluğu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Alkol ve madde kullanım bozuklukları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Bedensel belirti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bozukluğu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(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Somatizasyon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Konversiyon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>)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Bipolar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*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Cinsel işlev bozuklukları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Cinsel Kimlik Bozuklukları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Depresyon*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Disosiyatif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Kişilik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 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Obsesif‐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kompulsif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 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3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Panik bozukluk 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Sosyal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bozukluğu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Şizofreni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ve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diğer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psikotik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 * 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Uyku bozuklukları *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Yaygın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anksiyete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bozukluğu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*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Yeme bozuklukları 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Bağımlılık  (Davranışsal bağımlılık (kumar, alışveriş, teknolojik, internet bağımlılığı) 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Temaruz (çıkar elde etmek için hasta rolü yaparak sağlık hizmeti kullanımı) 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Psikiyatrik aciller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Psikofarmakolojide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akılcı ilaç kullanımı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Psikiyatrik öykü alabilme 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Ruhsal durum muayenesi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2</w:t>
            </w: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Otizm spektrum bozuklukları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Tik Bozuklukları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Yıkıcı Bozukluklar, dürtü kontrol ve davranım bozuklukları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DEHB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2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lastRenderedPageBreak/>
              <w:t xml:space="preserve">İletişim Bozuklukları (Kekemelik, 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</w:rPr>
              <w:t>artikülasyon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</w:rPr>
              <w:t xml:space="preserve"> bozuklukları, sosyal iletişim bozukluğu, dil bozukluğu)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Akran Zorbalığı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1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Zihinsel yetersizlikler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</w:t>
            </w: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Poliklinik Uygulaması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19</w:t>
            </w: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Klinik Öğrenci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Viziti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12</w:t>
            </w: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Olgu Temelli Değerlendirme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13</w:t>
            </w: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Simüle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Hasta ile Eğitim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9</w:t>
            </w:r>
          </w:p>
        </w:tc>
      </w:tr>
      <w:tr w:rsidR="009838DF" w:rsidRPr="00A30930" w:rsidTr="009838DF">
        <w:trPr>
          <w:gridAfter w:val="1"/>
          <w:wAfter w:w="19" w:type="dxa"/>
          <w:trHeight w:val="100"/>
        </w:trPr>
        <w:tc>
          <w:tcPr>
            <w:tcW w:w="7900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sz w:val="24"/>
              </w:rPr>
              <w:t>Hasta Dağıtımı ve Hazırlama</w:t>
            </w:r>
          </w:p>
        </w:tc>
        <w:tc>
          <w:tcPr>
            <w:tcW w:w="992" w:type="dxa"/>
          </w:tcPr>
          <w:p w:rsidR="009838DF" w:rsidRDefault="009838DF" w:rsidP="0038322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694" w:type="dxa"/>
          </w:tcPr>
          <w:p w:rsidR="009838DF" w:rsidRDefault="009838DF" w:rsidP="00383228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5</w:t>
            </w:r>
          </w:p>
        </w:tc>
      </w:tr>
    </w:tbl>
    <w:p w:rsidR="0034176A" w:rsidRDefault="0034176A">
      <w:pPr>
        <w:spacing w:after="0" w:line="360" w:lineRule="auto"/>
        <w:rPr>
          <w:rFonts w:ascii="Times New Roman" w:eastAsia="Times New Roman" w:hAnsi="Times New Roman" w:cs="Times New Roman"/>
          <w:b/>
          <w:color w:val="000000"/>
          <w:sz w:val="24"/>
        </w:rPr>
      </w:pP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AMAÇ: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“Ruh Sağlığı ve Hastalıkları” stajının sonunda dönem V öğrencileri; psikiyatrik değerlendirme ve yaklaşımı benimseyecek, genel tıp uygulamasında hastayı bütüncül yaklaşım içinde psikiyatrik yönden değerlendirebilecek, psikopatolojileri tanıyıp sıklıkla karşılaşabilecekleri psikiyatrik hastalıklarda ayırıcı tanı yapabileceklerdir.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ÖĞRENİM HEDEFLERİ: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“Ruh Sağlığı ve Hastalıkları” stajını sonunda dönem V öğrencileri;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1. Psikiyatrinin işlemini anlayacak, psikiyatrik hastalıkların yaygınlığı ve sınıflandırılmasını bilecek, psikiyatride temel yaklaşım prensiplerini sayabilecek, psikiyatrik hastalıklarda tanıma ve tedavi etmenin önemini kavrayacak,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2. Genel ve soruna yönelik öykü alabilecek, psikiyatrik </w:t>
      </w:r>
      <w:proofErr w:type="spellStart"/>
      <w:r>
        <w:rPr>
          <w:rFonts w:ascii="Times New Roman" w:eastAsia="Times New Roman" w:hAnsi="Times New Roman" w:cs="Times New Roman"/>
          <w:sz w:val="24"/>
        </w:rPr>
        <w:t>anemnez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alabilecek, </w:t>
      </w:r>
      <w:proofErr w:type="spellStart"/>
      <w:r>
        <w:rPr>
          <w:rFonts w:ascii="Times New Roman" w:eastAsia="Times New Roman" w:hAnsi="Times New Roman" w:cs="Times New Roman"/>
          <w:sz w:val="24"/>
        </w:rPr>
        <w:t>mental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durum muayenesi yapabilecek, karmaşık olmayan durumlarda bilinç değerlendirmesi ve ruhsal durum muayenesi yapabilecek, </w:t>
      </w:r>
      <w:proofErr w:type="gramStart"/>
      <w:r>
        <w:rPr>
          <w:rFonts w:ascii="Times New Roman" w:eastAsia="Times New Roman" w:hAnsi="Times New Roman" w:cs="Times New Roman"/>
          <w:sz w:val="24"/>
        </w:rPr>
        <w:t>epikriz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ve hasta dosyası hazırlayabilecek, tarama ve tanımsal amaçlı inceleme sonuçlarını yorumlayabilecek, </w:t>
      </w:r>
      <w:proofErr w:type="spellStart"/>
      <w:r>
        <w:rPr>
          <w:rFonts w:ascii="Times New Roman" w:eastAsia="Times New Roman" w:hAnsi="Times New Roman" w:cs="Times New Roman"/>
          <w:sz w:val="24"/>
        </w:rPr>
        <w:t>minimental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durum muayenesi yapabilecek,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3. Psikiyatrik hastalıkların diğer tıbbi hastalıklarla ilişki ve ayrımının farkına varacak, </w:t>
      </w:r>
      <w:proofErr w:type="spellStart"/>
      <w:r>
        <w:rPr>
          <w:rFonts w:ascii="Times New Roman" w:eastAsia="Times New Roman" w:hAnsi="Times New Roman" w:cs="Times New Roman"/>
          <w:sz w:val="24"/>
        </w:rPr>
        <w:t>biyopsikososyal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yaklaşımın önemini kavrayacak,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4. Şizofreni ve diğer </w:t>
      </w:r>
      <w:proofErr w:type="spellStart"/>
      <w:r>
        <w:rPr>
          <w:rFonts w:ascii="Times New Roman" w:eastAsia="Times New Roman" w:hAnsi="Times New Roman" w:cs="Times New Roman"/>
          <w:sz w:val="24"/>
        </w:rPr>
        <w:t>psikotik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bozuklukların tanımını koyabilecek, acil tedavisini yapabilecek, tedavisi hakkında bilgi sahibi olacak,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5. Alkol ve madde kullanım bozukluklarını tanıyabilecek, acil tedavisini yapabilecek ve korunma önlemlerin uygulayabilecek, 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6. Davranışsal bağımlılıkları (kumar, alışveriş, teknolojik, internet bağımlılığı) ve bağımlılıkların sosyal yönünü tanıyabilecek ve değerlendirebilecek,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7. Yeme bozuklukları, uyku bozuklukları ve </w:t>
      </w:r>
      <w:proofErr w:type="spellStart"/>
      <w:r>
        <w:rPr>
          <w:rFonts w:ascii="Times New Roman" w:eastAsia="Times New Roman" w:hAnsi="Times New Roman" w:cs="Times New Roman"/>
          <w:sz w:val="24"/>
        </w:rPr>
        <w:t>disosiyatif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bozuklukların ön tanısını koyabilecek,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lastRenderedPageBreak/>
        <w:t xml:space="preserve">8. Akut ve </w:t>
      </w:r>
      <w:proofErr w:type="gramStart"/>
      <w:r>
        <w:rPr>
          <w:rFonts w:ascii="Times New Roman" w:eastAsia="Times New Roman" w:hAnsi="Times New Roman" w:cs="Times New Roman"/>
          <w:sz w:val="24"/>
        </w:rPr>
        <w:t>travma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sonrası stres bozukluğunun ön tanısını koyabilecek,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9. </w:t>
      </w:r>
      <w:proofErr w:type="spellStart"/>
      <w:r>
        <w:rPr>
          <w:rFonts w:ascii="Times New Roman" w:eastAsia="Times New Roman" w:hAnsi="Times New Roman" w:cs="Times New Roman"/>
          <w:sz w:val="24"/>
        </w:rPr>
        <w:t>Bipolar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bozukluğu tanıyabilecek, acil tedavisini yapabilecek; depresif bozuklukların tanısını koyabilecek, tedavi edebilecek, acil tedavisini, 1. basamak şartlarında takip ve kontrolünü yapabilecek, korunma önlemlerini uygulayabilecek,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10. </w:t>
      </w:r>
      <w:proofErr w:type="spellStart"/>
      <w:r>
        <w:rPr>
          <w:rFonts w:ascii="Times New Roman" w:eastAsia="Times New Roman" w:hAnsi="Times New Roman" w:cs="Times New Roman"/>
          <w:sz w:val="24"/>
        </w:rPr>
        <w:t>Anksiyete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bozuklukların ön tansını koyabilecek, Yaygın </w:t>
      </w:r>
      <w:proofErr w:type="spellStart"/>
      <w:r>
        <w:rPr>
          <w:rFonts w:ascii="Times New Roman" w:eastAsia="Times New Roman" w:hAnsi="Times New Roman" w:cs="Times New Roman"/>
          <w:sz w:val="24"/>
        </w:rPr>
        <w:t>anksiyete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bozukluğu, </w:t>
      </w:r>
      <w:proofErr w:type="spellStart"/>
      <w:r>
        <w:rPr>
          <w:rFonts w:ascii="Times New Roman" w:eastAsia="Times New Roman" w:hAnsi="Times New Roman" w:cs="Times New Roman"/>
          <w:sz w:val="24"/>
        </w:rPr>
        <w:t>fobik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bozukluklar, panik bozukluk ve sosyal </w:t>
      </w:r>
      <w:proofErr w:type="spellStart"/>
      <w:r>
        <w:rPr>
          <w:rFonts w:ascii="Times New Roman" w:eastAsia="Times New Roman" w:hAnsi="Times New Roman" w:cs="Times New Roman"/>
          <w:sz w:val="24"/>
        </w:rPr>
        <w:t>anksiyete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bozukluğunun tanısını koyabilecek ve tedavisi hakkında bilgi sahibi olacak, panik bozukluğun acil tedavisini yapabilecek,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11. Obsesif </w:t>
      </w:r>
      <w:proofErr w:type="spellStart"/>
      <w:r>
        <w:rPr>
          <w:rFonts w:ascii="Times New Roman" w:eastAsia="Times New Roman" w:hAnsi="Times New Roman" w:cs="Times New Roman"/>
          <w:sz w:val="24"/>
        </w:rPr>
        <w:t>kompülsif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bozukluğun tanısını koyabilecek ve tedavisi hakkında bilgi sahibi olacak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13. Kişilik bozuklukların ön tanısını koyabilecek,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14. </w:t>
      </w:r>
      <w:proofErr w:type="spellStart"/>
      <w:r>
        <w:rPr>
          <w:rFonts w:ascii="Times New Roman" w:eastAsia="Times New Roman" w:hAnsi="Times New Roman" w:cs="Times New Roman"/>
          <w:sz w:val="24"/>
        </w:rPr>
        <w:t>Somatoform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bozuklukların (bedensel belirti bozukluğu, </w:t>
      </w:r>
      <w:proofErr w:type="spellStart"/>
      <w:r>
        <w:rPr>
          <w:rFonts w:ascii="Times New Roman" w:eastAsia="Times New Roman" w:hAnsi="Times New Roman" w:cs="Times New Roman"/>
          <w:sz w:val="24"/>
        </w:rPr>
        <w:t>hipokonriyazis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konversiyon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bozukluğu gibi) tanısını koyabilecek ve acil tedavisini yapabilecek, </w:t>
      </w:r>
      <w:proofErr w:type="spellStart"/>
      <w:r>
        <w:rPr>
          <w:rFonts w:ascii="Times New Roman" w:eastAsia="Times New Roman" w:hAnsi="Times New Roman" w:cs="Times New Roman"/>
          <w:sz w:val="24"/>
        </w:rPr>
        <w:t>psikososyal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yönünü değerlendirebilecek, temaruzu ayırt edebilecek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15. Cinsel işlev bozukluklarının ve cinsel kimlik bozukluklarının ön tanısını koyabilecek,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16. Stres ve stresle </w:t>
      </w:r>
      <w:proofErr w:type="spellStart"/>
      <w:r>
        <w:rPr>
          <w:rFonts w:ascii="Times New Roman" w:eastAsia="Times New Roman" w:hAnsi="Times New Roman" w:cs="Times New Roman"/>
          <w:sz w:val="24"/>
        </w:rPr>
        <w:t>başetme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stratejilerini tanıyabilecek,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17. Psikiyatrik acilleri tanıyabilecek, müdahale yöntemlerini uygulayabilecek</w:t>
      </w:r>
    </w:p>
    <w:p w:rsidR="0034176A" w:rsidRDefault="00843B34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18. Psikiyatride akılcı ilaç kullanımı konusunda bilgi sahibi olacak</w:t>
      </w:r>
    </w:p>
    <w:p w:rsidR="0034176A" w:rsidRDefault="00843B34" w:rsidP="009838DF">
      <w:pPr>
        <w:tabs>
          <w:tab w:val="left" w:pos="3057"/>
        </w:tabs>
        <w:spacing w:line="360" w:lineRule="auto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19. Çocuk ruh sağlığı ile ilgili en çok görülen hastalıkları tanıyabilecek, </w:t>
      </w:r>
      <w:proofErr w:type="spellStart"/>
      <w:r>
        <w:rPr>
          <w:rFonts w:ascii="Times New Roman" w:eastAsia="Times New Roman" w:hAnsi="Times New Roman" w:cs="Times New Roman"/>
          <w:sz w:val="24"/>
        </w:rPr>
        <w:t>öntanısını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koyabilecek</w:t>
      </w:r>
    </w:p>
    <w:sectPr w:rsidR="003417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PT Sans Narrow">
    <w:altName w:val="Arial"/>
    <w:panose1 w:val="00000000000000000000"/>
    <w:charset w:val="00"/>
    <w:family w:val="swiss"/>
    <w:notTrueType/>
    <w:pitch w:val="default"/>
    <w:sig w:usb0="00000001" w:usb1="00000000" w:usb2="00000000" w:usb3="00000000" w:csb0="00000013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176A"/>
    <w:rsid w:val="0034176A"/>
    <w:rsid w:val="00351FC9"/>
    <w:rsid w:val="00383228"/>
    <w:rsid w:val="006878EB"/>
    <w:rsid w:val="00843B34"/>
    <w:rsid w:val="009838DF"/>
    <w:rsid w:val="009B4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F413A"/>
  <w15:docId w15:val="{024D1BDD-26D4-444D-A072-491EA2B39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383228"/>
    <w:pPr>
      <w:autoSpaceDE w:val="0"/>
      <w:autoSpaceDN w:val="0"/>
      <w:adjustRightInd w:val="0"/>
      <w:spacing w:after="0" w:line="240" w:lineRule="auto"/>
    </w:pPr>
    <w:rPr>
      <w:rFonts w:ascii="PT Sans Narrow" w:eastAsiaTheme="minorHAnsi" w:hAnsi="PT Sans Narrow" w:cs="PT Sans Narrow"/>
      <w:color w:val="000000"/>
      <w:sz w:val="24"/>
      <w:szCs w:val="24"/>
      <w:lang w:eastAsia="en-US"/>
    </w:rPr>
  </w:style>
  <w:style w:type="table" w:styleId="TabloKlavuzu">
    <w:name w:val="Table Grid"/>
    <w:basedOn w:val="NormalTablo"/>
    <w:uiPriority w:val="39"/>
    <w:rsid w:val="00383228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675</Words>
  <Characters>3854</Characters>
  <Application>Microsoft Office Word</Application>
  <DocSecurity>0</DocSecurity>
  <Lines>32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Dekan</dc:creator>
  <cp:lastModifiedBy>202</cp:lastModifiedBy>
  <cp:revision>6</cp:revision>
  <dcterms:created xsi:type="dcterms:W3CDTF">2023-05-05T08:30:00Z</dcterms:created>
  <dcterms:modified xsi:type="dcterms:W3CDTF">2023-05-29T06:17:00Z</dcterms:modified>
</cp:coreProperties>
</file>