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62" w:rsidRPr="00C91562" w:rsidRDefault="00DC1028" w:rsidP="00C915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8338DD0" wp14:editId="0CD420A9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562" w:rsidRPr="00C91562" w:rsidRDefault="00727000" w:rsidP="00C915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C91562" w:rsidRPr="00C91562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C91562" w:rsidRDefault="0027267E" w:rsidP="00C915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C91562" w:rsidRDefault="008027CD" w:rsidP="00C915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562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8461AC" w:rsidRPr="00C91562">
        <w:rPr>
          <w:rFonts w:ascii="Times New Roman" w:hAnsi="Times New Roman" w:cs="Times New Roman"/>
          <w:b/>
          <w:sz w:val="24"/>
          <w:szCs w:val="24"/>
        </w:rPr>
        <w:t xml:space="preserve">ÜROLOJİ STAJI </w:t>
      </w:r>
      <w:r w:rsidR="00214AC3" w:rsidRPr="00C91562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880B7D" w:rsidRPr="0003790B" w:rsidTr="001D40BE">
        <w:tc>
          <w:tcPr>
            <w:tcW w:w="1696" w:type="dxa"/>
            <w:vMerge w:val="restart"/>
          </w:tcPr>
          <w:p w:rsidR="00880B7D" w:rsidRPr="0003790B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880B7D" w:rsidRPr="0003790B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880B7D" w:rsidRPr="0003790B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880B7D" w:rsidRPr="0003790B" w:rsidTr="001D40BE">
        <w:tc>
          <w:tcPr>
            <w:tcW w:w="1696" w:type="dxa"/>
            <w:vMerge/>
          </w:tcPr>
          <w:p w:rsidR="00880B7D" w:rsidRPr="0003790B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880B7D" w:rsidRPr="0003790B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880B7D" w:rsidRPr="0003790B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880B7D" w:rsidRPr="0003790B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880B7D" w:rsidRPr="0003790B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0B7D" w:rsidRPr="0003790B" w:rsidTr="001D40BE">
        <w:tc>
          <w:tcPr>
            <w:tcW w:w="1696" w:type="dxa"/>
          </w:tcPr>
          <w:p w:rsidR="00880B7D" w:rsidRPr="000710C4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:rsidR="00880B7D" w:rsidRPr="000710C4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772" w:type="dxa"/>
          </w:tcPr>
          <w:p w:rsidR="00880B7D" w:rsidRPr="000710C4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772" w:type="dxa"/>
          </w:tcPr>
          <w:p w:rsidR="00880B7D" w:rsidRPr="000710C4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772" w:type="dxa"/>
          </w:tcPr>
          <w:p w:rsidR="00880B7D" w:rsidRPr="000710C4" w:rsidRDefault="00880B7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880B7D" w:rsidRPr="00C91562" w:rsidRDefault="00880B7D" w:rsidP="00C9156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C7170" w:rsidRPr="00C91562" w:rsidRDefault="009C7170" w:rsidP="00C9156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B204D0" w:rsidRPr="00C91562" w:rsidTr="00B204D0">
        <w:trPr>
          <w:trHeight w:val="110"/>
        </w:trPr>
        <w:tc>
          <w:tcPr>
            <w:tcW w:w="9175" w:type="dxa"/>
            <w:gridSpan w:val="3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C91562">
              <w:rPr>
                <w:rFonts w:ascii="Times New Roman" w:hAnsi="Times New Roman" w:cs="Times New Roman"/>
                <w:b/>
                <w:sz w:val="24"/>
                <w:szCs w:val="24"/>
              </w:rPr>
              <w:t>ÜROLOJİ STAJI</w:t>
            </w:r>
          </w:p>
          <w:p w:rsidR="00B204D0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880B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</w:t>
            </w:r>
            <w:r w:rsidR="00C91562" w:rsidRPr="00C9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880B7D" w:rsidRPr="00C91562" w:rsidRDefault="00880B7D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5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Ürolojide semptomaloji ve muayene yöntemleri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Ürolojide görüntüleme yöntemleri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Mesane kanserleri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Böbrek tümörleri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Ürogenital tüberküloz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Obstrüktif üropatiler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İntraskrotal kitleler(Malign olmayan)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İnmemiş testis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İnfertilite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Prostat kanseri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BPH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Üriner infeksiyonlar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Erektil disfonksiyon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lastRenderedPageBreak/>
              <w:t xml:space="preserve">Üriner sistem taş hastalığı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Ürogenital sistem Konjenital anomaliler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Vezikoüreteral Reflü (VUR)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Enurezis ve iseme bozuklukları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Ürogenital travmalar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Nörojenik mesane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Testis tümörleri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Ürogenital sistem muayenesi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Ürogenital sistem görüntüleme yöntemleri pratiği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Ürolojide kullanılan aletler ve cihazlar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Hasta viziti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B204D0" w:rsidRPr="00C91562" w:rsidTr="00B204D0">
        <w:trPr>
          <w:trHeight w:val="110"/>
        </w:trPr>
        <w:tc>
          <w:tcPr>
            <w:tcW w:w="6907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Ameliyathane pratik uygulama </w:t>
            </w: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4D0" w:rsidRPr="00C91562" w:rsidRDefault="00B204D0" w:rsidP="00C9156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91562">
              <w:rPr>
                <w:rFonts w:ascii="Times New Roman" w:hAnsi="Times New Roman" w:cs="Times New Roman"/>
              </w:rPr>
              <w:t xml:space="preserve">16 </w:t>
            </w:r>
          </w:p>
        </w:tc>
      </w:tr>
    </w:tbl>
    <w:p w:rsidR="00903A84" w:rsidRPr="00C91562" w:rsidRDefault="00A17570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ab/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562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“Üroloji” stajının sonunda dönem V öğrencileri özellikle acil tanı ve tedavi gerektiren ürolojik hastalıklar başta olmak üzere sık görülen ürolojik hastalıkların tanısını koyabilecek ve birinci basamak düzeyinde ürolojik hastalıkların tedavisini yapabileceklerdir.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1562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“Üroloji” stajının sonunda Dönem V öğrencileri,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1. Ürolojik muayeneyi yapabilecek,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2. Ürolojik görüntüleme yöntemlerini değerlendirebilecek,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3. Pyelonefrit, sistit, üretit, orşit gibi üriner enfeksiyonların tanısını koyup tedavi edebilecek, komplikasyonlarını yorumlayabilecek,korunma yöntemlerini 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4. Ürolojik tümörlerin semptom ve bulgularını sayabilecek,korunma yolları hakkında fikir sahibi olacak,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5. Pıhtılı hematürili hastalara ilk girişimi yapabilecek, gerekli durumda uzmana yönlendirebilecek,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6. Ürogenital sistem travmalarında acil durumu tanıyıp ilk müdahaleyi yapabilecek,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7. İdrar retansiyonu (glob) olan hastalarda ilk girişimi yapabilecek,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8. Üretral kateterizasyon endikasyonları ve uygulamasını bilecek ve üretral kateterli hastanın bakımını yapabilecek,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9. Üriner kolikli hastayı tedavi edebilecek,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lastRenderedPageBreak/>
        <w:t>10. Üriner obstrüksiyon tanısı koyabilecek,gerekli acil durumlarda ilk müdahaleyi yapabilecek,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11. İntraskrotal kitleleri ön tanısını yapabilecek,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12. Üregenital tüberkülozun sempton ve bulgularını sayabilecek,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13. İnmemiş testisin tanısını, komplikasyonlarını ve tedavi yaşını açıklayabilecek,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14. Üregenital sistem konjenital anomalilerini tanıyabilecek,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15. Spermiyogram sonuçlarını yorumlayabilecek,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16. İnfertil erkeğin tanımını yapabilecek,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17. Vezikoüreteral reflünün ön tanısını yapabilecek,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18. Üriner sistem taş hastalığının tanısını koyup konservatif tedavisini yapabilecek,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19. Erektil disfonksiyon tanısını koyabilecek,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20. Cinsel yolla bulaşan hastalıkların tanı ve tedavisini yapabilecek, koruyucu önlemler hakkında bilgi verebilecek,</w:t>
      </w:r>
    </w:p>
    <w:p w:rsidR="008461AC" w:rsidRPr="00C91562" w:rsidRDefault="008461AC" w:rsidP="00C91562">
      <w:pPr>
        <w:tabs>
          <w:tab w:val="left" w:pos="3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562">
        <w:rPr>
          <w:rFonts w:ascii="Times New Roman" w:hAnsi="Times New Roman" w:cs="Times New Roman"/>
          <w:sz w:val="24"/>
          <w:szCs w:val="24"/>
        </w:rPr>
        <w:t>21. Nörojenik mesane ve işeme bozukluklarını tanımlayabileceklerdir.</w:t>
      </w:r>
    </w:p>
    <w:sectPr w:rsidR="008461AC" w:rsidRPr="00C9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000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0B7D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1562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028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8</cp:revision>
  <dcterms:created xsi:type="dcterms:W3CDTF">2017-02-20T23:04:00Z</dcterms:created>
  <dcterms:modified xsi:type="dcterms:W3CDTF">2017-12-06T08:56:00Z</dcterms:modified>
</cp:coreProperties>
</file>