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7654"/>
      </w:tblGrid>
      <w:tr w:rsidR="007A7D10" w:rsidTr="003B31C4">
        <w:trPr>
          <w:trHeight w:val="274"/>
        </w:trPr>
        <w:tc>
          <w:tcPr>
            <w:tcW w:w="10348" w:type="dxa"/>
            <w:gridSpan w:val="2"/>
            <w:shd w:val="clear" w:color="auto" w:fill="9CC2E5" w:themeFill="accent1" w:themeFillTint="99"/>
          </w:tcPr>
          <w:p w:rsidR="007A7D10" w:rsidRPr="003B31C4" w:rsidRDefault="007A7D10" w:rsidP="007A7D10">
            <w:pPr>
              <w:autoSpaceDE w:val="0"/>
              <w:autoSpaceDN w:val="0"/>
              <w:adjustRightInd w:val="0"/>
              <w:spacing w:after="0" w:line="240" w:lineRule="auto"/>
              <w:jc w:val="center"/>
              <w:rPr>
                <w:rFonts w:ascii="Times New Roman" w:hAnsi="Times New Roman" w:cs="Times New Roman"/>
                <w:b/>
                <w:color w:val="000000"/>
                <w:sz w:val="20"/>
                <w:szCs w:val="20"/>
              </w:rPr>
            </w:pPr>
            <w:bookmarkStart w:id="0" w:name="_GoBack"/>
            <w:bookmarkEnd w:id="0"/>
            <w:r w:rsidRPr="003B31C4">
              <w:rPr>
                <w:rFonts w:ascii="Times New Roman" w:hAnsi="Times New Roman" w:cs="Times New Roman"/>
                <w:b/>
                <w:color w:val="000000"/>
                <w:sz w:val="20"/>
                <w:szCs w:val="20"/>
              </w:rPr>
              <w:t>ACADEMIC INFORMATION</w:t>
            </w:r>
          </w:p>
        </w:tc>
      </w:tr>
      <w:tr w:rsidR="00D0666F" w:rsidTr="002B69D6">
        <w:trPr>
          <w:trHeight w:val="274"/>
        </w:trPr>
        <w:tc>
          <w:tcPr>
            <w:tcW w:w="2694" w:type="dxa"/>
            <w:shd w:val="clear" w:color="auto" w:fill="C9C9C9" w:themeFill="accent3" w:themeFillTint="99"/>
          </w:tcPr>
          <w:tbl>
            <w:tblPr>
              <w:tblW w:w="0" w:type="auto"/>
              <w:tblBorders>
                <w:top w:val="nil"/>
                <w:left w:val="nil"/>
                <w:bottom w:val="nil"/>
                <w:right w:val="nil"/>
              </w:tblBorders>
              <w:tblLook w:val="0000" w:firstRow="0" w:lastRow="0" w:firstColumn="0" w:lastColumn="0" w:noHBand="0" w:noVBand="0"/>
            </w:tblPr>
            <w:tblGrid>
              <w:gridCol w:w="1927"/>
              <w:gridCol w:w="222"/>
            </w:tblGrid>
            <w:tr w:rsidR="00D0666F" w:rsidRPr="003B31C4">
              <w:trPr>
                <w:trHeight w:val="326"/>
              </w:trPr>
              <w:tc>
                <w:tcPr>
                  <w:tcW w:w="0" w:type="auto"/>
                </w:tcPr>
                <w:p w:rsidR="00D0666F" w:rsidRPr="003B31C4" w:rsidRDefault="003B31C4" w:rsidP="00D0666F">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Semesters at </w:t>
                  </w:r>
                  <w:r w:rsidR="00D0666F" w:rsidRPr="003B31C4">
                    <w:rPr>
                      <w:rFonts w:ascii="Times New Roman" w:hAnsi="Times New Roman" w:cs="Times New Roman"/>
                      <w:b/>
                      <w:color w:val="000000"/>
                      <w:sz w:val="20"/>
                      <w:szCs w:val="20"/>
                    </w:rPr>
                    <w:t xml:space="preserve">NCHU </w:t>
                  </w:r>
                </w:p>
              </w:tc>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 </w:t>
                  </w:r>
                </w:p>
              </w:tc>
            </w:tr>
          </w:tbl>
          <w:p w:rsidR="00D0666F" w:rsidRPr="003B31C4" w:rsidRDefault="00D0666F">
            <w:pPr>
              <w:rPr>
                <w:rFonts w:ascii="Times New Roman" w:hAnsi="Times New Roman" w:cs="Times New Roman"/>
                <w:b/>
                <w:sz w:val="20"/>
                <w:szCs w:val="20"/>
              </w:rPr>
            </w:pPr>
          </w:p>
        </w:tc>
        <w:tc>
          <w:tcPr>
            <w:tcW w:w="7654" w:type="dxa"/>
            <w:shd w:val="clear" w:color="auto" w:fill="C5E0B3" w:themeFill="accent6" w:themeFillTint="66"/>
          </w:tcPr>
          <w:p w:rsidR="00D0666F" w:rsidRPr="003B31C4" w:rsidRDefault="00D0666F" w:rsidP="003B31C4">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Fall semester (Sep. 2021 – Jan. 2022) </w:t>
            </w:r>
            <w:r w:rsidR="003B31C4">
              <w:rPr>
                <w:rFonts w:ascii="Times New Roman" w:hAnsi="Times New Roman" w:cs="Times New Roman"/>
                <w:color w:val="000000"/>
                <w:sz w:val="20"/>
                <w:szCs w:val="20"/>
              </w:rPr>
              <w:t xml:space="preserve">   </w:t>
            </w:r>
            <w:r w:rsidRPr="003B31C4">
              <w:rPr>
                <w:rFonts w:ascii="Times New Roman" w:hAnsi="Times New Roman" w:cs="Times New Roman"/>
                <w:color w:val="000000"/>
                <w:sz w:val="20"/>
                <w:szCs w:val="20"/>
              </w:rPr>
              <w:t>Spring semester (Feb. 2022 – Jun. 2022)</w:t>
            </w:r>
          </w:p>
        </w:tc>
      </w:tr>
      <w:tr w:rsidR="00D0666F" w:rsidTr="002B69D6">
        <w:trPr>
          <w:trHeight w:val="788"/>
        </w:trPr>
        <w:tc>
          <w:tcPr>
            <w:tcW w:w="2694" w:type="dxa"/>
            <w:shd w:val="clear" w:color="auto" w:fill="C9C9C9" w:themeFill="accent3" w:themeFillTint="99"/>
          </w:tcPr>
          <w:tbl>
            <w:tblPr>
              <w:tblW w:w="0" w:type="auto"/>
              <w:tblBorders>
                <w:top w:val="nil"/>
                <w:left w:val="nil"/>
                <w:bottom w:val="nil"/>
                <w:right w:val="nil"/>
              </w:tblBorders>
              <w:tblLook w:val="0000" w:firstRow="0" w:lastRow="0" w:firstColumn="0" w:lastColumn="0" w:noHBand="0" w:noVBand="0"/>
            </w:tblPr>
            <w:tblGrid>
              <w:gridCol w:w="1483"/>
              <w:gridCol w:w="222"/>
            </w:tblGrid>
            <w:tr w:rsidR="00D0666F" w:rsidRPr="003B31C4">
              <w:trPr>
                <w:trHeight w:val="866"/>
              </w:trPr>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Areas of Study </w:t>
                  </w:r>
                </w:p>
              </w:tc>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p>
              </w:tc>
            </w:tr>
          </w:tbl>
          <w:p w:rsidR="00D0666F" w:rsidRPr="003B31C4" w:rsidRDefault="00D0666F">
            <w:pPr>
              <w:rPr>
                <w:rFonts w:ascii="Times New Roman" w:hAnsi="Times New Roman" w:cs="Times New Roman"/>
                <w:b/>
                <w:sz w:val="20"/>
                <w:szCs w:val="20"/>
              </w:rPr>
            </w:pPr>
          </w:p>
        </w:tc>
        <w:tc>
          <w:tcPr>
            <w:tcW w:w="7654" w:type="dxa"/>
            <w:shd w:val="clear" w:color="auto" w:fill="C5E0B3" w:themeFill="accent6" w:themeFillTint="66"/>
          </w:tcPr>
          <w:p w:rsidR="00D0666F" w:rsidRPr="003B31C4" w:rsidRDefault="00D0666F" w:rsidP="002B69D6">
            <w:pPr>
              <w:rPr>
                <w:rFonts w:ascii="Times New Roman" w:hAnsi="Times New Roman" w:cs="Times New Roman"/>
                <w:sz w:val="20"/>
                <w:szCs w:val="20"/>
              </w:rPr>
            </w:pPr>
            <w:r w:rsidRPr="003B31C4">
              <w:rPr>
                <w:rFonts w:ascii="Times New Roman" w:hAnsi="Times New Roman" w:cs="Times New Roman"/>
                <w:color w:val="000000"/>
                <w:sz w:val="20"/>
                <w:szCs w:val="20"/>
              </w:rPr>
              <w:t>NCHU offers courses taught in Chinese in the fields of Agr</w:t>
            </w:r>
            <w:r w:rsidR="002B69D6">
              <w:rPr>
                <w:rFonts w:ascii="Times New Roman" w:hAnsi="Times New Roman" w:cs="Times New Roman"/>
                <w:color w:val="000000"/>
                <w:sz w:val="20"/>
                <w:szCs w:val="20"/>
              </w:rPr>
              <w:t xml:space="preserve">iculture and Natural Resources, Veterinary Medicine. </w:t>
            </w:r>
            <w:r w:rsidRPr="003B31C4">
              <w:rPr>
                <w:rFonts w:ascii="Times New Roman" w:hAnsi="Times New Roman" w:cs="Times New Roman"/>
                <w:color w:val="000000"/>
                <w:sz w:val="20"/>
                <w:szCs w:val="20"/>
              </w:rPr>
              <w:t>We also offer courses taught in English divid</w:t>
            </w:r>
            <w:r w:rsidR="002B69D6">
              <w:rPr>
                <w:rFonts w:ascii="Times New Roman" w:hAnsi="Times New Roman" w:cs="Times New Roman"/>
                <w:color w:val="000000"/>
                <w:sz w:val="20"/>
                <w:szCs w:val="20"/>
              </w:rPr>
              <w:t xml:space="preserve">ed into the fields of </w:t>
            </w:r>
            <w:r w:rsidRPr="003B31C4">
              <w:rPr>
                <w:rFonts w:ascii="Times New Roman" w:hAnsi="Times New Roman" w:cs="Times New Roman"/>
                <w:color w:val="000000"/>
                <w:sz w:val="20"/>
                <w:szCs w:val="20"/>
              </w:rPr>
              <w:t xml:space="preserve"> Engineeri</w:t>
            </w:r>
            <w:r w:rsidR="002B69D6">
              <w:rPr>
                <w:rFonts w:ascii="Times New Roman" w:hAnsi="Times New Roman" w:cs="Times New Roman"/>
                <w:color w:val="000000"/>
                <w:sz w:val="20"/>
                <w:szCs w:val="20"/>
              </w:rPr>
              <w:t>ng and</w:t>
            </w:r>
            <w:r w:rsidRPr="003B31C4">
              <w:rPr>
                <w:rFonts w:ascii="Times New Roman" w:hAnsi="Times New Roman" w:cs="Times New Roman"/>
                <w:color w:val="000000"/>
                <w:sz w:val="20"/>
                <w:szCs w:val="20"/>
              </w:rPr>
              <w:t xml:space="preserve"> Agricultural and Biological S</w:t>
            </w:r>
            <w:r w:rsidR="002B69D6">
              <w:rPr>
                <w:rFonts w:ascii="Times New Roman" w:hAnsi="Times New Roman" w:cs="Times New Roman"/>
                <w:color w:val="000000"/>
                <w:sz w:val="20"/>
                <w:szCs w:val="20"/>
              </w:rPr>
              <w:t>ciences</w:t>
            </w:r>
            <w:r w:rsidRPr="003B31C4">
              <w:rPr>
                <w:rFonts w:ascii="Times New Roman" w:hAnsi="Times New Roman" w:cs="Times New Roman"/>
                <w:color w:val="000000"/>
                <w:sz w:val="20"/>
                <w:szCs w:val="20"/>
              </w:rPr>
              <w:t>.</w:t>
            </w:r>
          </w:p>
        </w:tc>
      </w:tr>
      <w:tr w:rsidR="00D0666F" w:rsidTr="002B69D6">
        <w:trPr>
          <w:trHeight w:val="1219"/>
        </w:trPr>
        <w:tc>
          <w:tcPr>
            <w:tcW w:w="2694" w:type="dxa"/>
            <w:shd w:val="clear" w:color="auto" w:fill="C9C9C9" w:themeFill="accent3" w:themeFillTint="99"/>
          </w:tcPr>
          <w:tbl>
            <w:tblPr>
              <w:tblW w:w="0" w:type="auto"/>
              <w:tblBorders>
                <w:top w:val="nil"/>
                <w:left w:val="nil"/>
                <w:bottom w:val="nil"/>
                <w:right w:val="nil"/>
              </w:tblBorders>
              <w:tblLook w:val="0000" w:firstRow="0" w:lastRow="0" w:firstColumn="0" w:lastColumn="0" w:noHBand="0" w:noVBand="0"/>
            </w:tblPr>
            <w:tblGrid>
              <w:gridCol w:w="1644"/>
              <w:gridCol w:w="222"/>
            </w:tblGrid>
            <w:tr w:rsidR="00D0666F" w:rsidRPr="003B31C4">
              <w:trPr>
                <w:trHeight w:val="866"/>
              </w:trPr>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Course Selection </w:t>
                  </w:r>
                </w:p>
              </w:tc>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 </w:t>
                  </w:r>
                </w:p>
              </w:tc>
            </w:tr>
          </w:tbl>
          <w:p w:rsidR="00D0666F" w:rsidRPr="003B31C4" w:rsidRDefault="00D0666F">
            <w:pPr>
              <w:rPr>
                <w:rFonts w:ascii="Times New Roman" w:hAnsi="Times New Roman" w:cs="Times New Roman"/>
                <w:b/>
                <w:sz w:val="20"/>
                <w:szCs w:val="20"/>
              </w:rPr>
            </w:pPr>
          </w:p>
        </w:tc>
        <w:tc>
          <w:tcPr>
            <w:tcW w:w="7654" w:type="dxa"/>
            <w:shd w:val="clear" w:color="auto" w:fill="C5E0B3" w:themeFill="accent6" w:themeFillTint="66"/>
          </w:tcPr>
          <w:p w:rsidR="00D0666F" w:rsidRPr="003B31C4" w:rsidRDefault="00D0666F" w:rsidP="00D0666F">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Please check courses at Division of Curriculum. </w:t>
            </w:r>
          </w:p>
          <w:p w:rsidR="00D0666F" w:rsidRPr="003B31C4" w:rsidRDefault="00D0666F" w:rsidP="00D0666F">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For questions about the course query system, please contact </w:t>
            </w:r>
            <w:hyperlink r:id="rId7" w:history="1">
              <w:r w:rsidR="006F17B5" w:rsidRPr="003B31C4">
                <w:rPr>
                  <w:rStyle w:val="Kpr"/>
                  <w:rFonts w:ascii="Times New Roman" w:hAnsi="Times New Roman" w:cs="Times New Roman"/>
                  <w:sz w:val="20"/>
                  <w:szCs w:val="20"/>
                </w:rPr>
                <w:t>course@dragon.nchu.edu.tw</w:t>
              </w:r>
            </w:hyperlink>
            <w:r w:rsidR="006F17B5" w:rsidRPr="003B31C4">
              <w:rPr>
                <w:rFonts w:ascii="Times New Roman" w:hAnsi="Times New Roman" w:cs="Times New Roman"/>
                <w:color w:val="000000"/>
                <w:sz w:val="20"/>
                <w:szCs w:val="20"/>
              </w:rPr>
              <w:t xml:space="preserve"> </w:t>
            </w:r>
            <w:r w:rsidRPr="003B31C4">
              <w:rPr>
                <w:rFonts w:ascii="Times New Roman" w:hAnsi="Times New Roman" w:cs="Times New Roman"/>
                <w:color w:val="000000"/>
                <w:sz w:val="20"/>
                <w:szCs w:val="20"/>
              </w:rPr>
              <w:t xml:space="preserve"> (Division of Curriculum, Office of Academic Affairs). </w:t>
            </w:r>
          </w:p>
          <w:p w:rsidR="00D0666F" w:rsidRPr="003B31C4" w:rsidRDefault="00D0666F" w:rsidP="00D0666F">
            <w:pPr>
              <w:rPr>
                <w:rFonts w:ascii="Times New Roman" w:hAnsi="Times New Roman" w:cs="Times New Roman"/>
                <w:sz w:val="20"/>
                <w:szCs w:val="20"/>
              </w:rPr>
            </w:pPr>
            <w:r w:rsidRPr="003B31C4">
              <w:rPr>
                <w:rFonts w:ascii="Times New Roman" w:hAnsi="Times New Roman" w:cs="Times New Roman"/>
                <w:color w:val="000000"/>
                <w:sz w:val="20"/>
                <w:szCs w:val="20"/>
              </w:rPr>
              <w:t>For more information, such as a detailed description about courses in a particular field, please contact the respective department directly.</w:t>
            </w:r>
          </w:p>
        </w:tc>
      </w:tr>
      <w:tr w:rsidR="00D0666F" w:rsidTr="003B31C4">
        <w:trPr>
          <w:trHeight w:val="1127"/>
        </w:trPr>
        <w:tc>
          <w:tcPr>
            <w:tcW w:w="2694" w:type="dxa"/>
            <w:shd w:val="clear" w:color="auto" w:fill="C9C9C9" w:themeFill="accent3" w:themeFillTint="99"/>
          </w:tcPr>
          <w:tbl>
            <w:tblPr>
              <w:tblW w:w="0" w:type="auto"/>
              <w:tblBorders>
                <w:top w:val="nil"/>
                <w:left w:val="nil"/>
                <w:bottom w:val="nil"/>
                <w:right w:val="nil"/>
              </w:tblBorders>
              <w:tblLook w:val="0000" w:firstRow="0" w:lastRow="0" w:firstColumn="0" w:lastColumn="0" w:noHBand="0" w:noVBand="0"/>
            </w:tblPr>
            <w:tblGrid>
              <w:gridCol w:w="1933"/>
              <w:gridCol w:w="222"/>
            </w:tblGrid>
            <w:tr w:rsidR="00D0666F" w:rsidRPr="003B31C4">
              <w:trPr>
                <w:trHeight w:val="1046"/>
              </w:trPr>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Course Registration </w:t>
                  </w:r>
                </w:p>
              </w:tc>
              <w:tc>
                <w:tcPr>
                  <w:tcW w:w="0" w:type="auto"/>
                </w:tcPr>
                <w:p w:rsidR="00D0666F" w:rsidRPr="003B31C4" w:rsidRDefault="00D0666F" w:rsidP="00D0666F">
                  <w:pPr>
                    <w:autoSpaceDE w:val="0"/>
                    <w:autoSpaceDN w:val="0"/>
                    <w:adjustRightInd w:val="0"/>
                    <w:spacing w:after="0" w:line="240" w:lineRule="auto"/>
                    <w:rPr>
                      <w:rFonts w:ascii="Times New Roman" w:eastAsia="...." w:hAnsi="Times New Roman" w:cs="Times New Roman"/>
                      <w:b/>
                      <w:color w:val="000000"/>
                      <w:sz w:val="20"/>
                      <w:szCs w:val="20"/>
                    </w:rPr>
                  </w:pPr>
                  <w:r w:rsidRPr="003B31C4">
                    <w:rPr>
                      <w:rFonts w:ascii="Times New Roman" w:eastAsia="...." w:hAnsi="Times New Roman" w:cs="Times New Roman"/>
                      <w:b/>
                      <w:color w:val="000000"/>
                      <w:sz w:val="20"/>
                      <w:szCs w:val="20"/>
                    </w:rPr>
                    <w:t xml:space="preserve"> </w:t>
                  </w:r>
                </w:p>
              </w:tc>
            </w:tr>
          </w:tbl>
          <w:p w:rsidR="00D0666F" w:rsidRPr="003B31C4" w:rsidRDefault="00D0666F">
            <w:pPr>
              <w:rPr>
                <w:rFonts w:ascii="Times New Roman" w:hAnsi="Times New Roman" w:cs="Times New Roman"/>
                <w:b/>
                <w:sz w:val="20"/>
                <w:szCs w:val="20"/>
              </w:rPr>
            </w:pPr>
          </w:p>
        </w:tc>
        <w:tc>
          <w:tcPr>
            <w:tcW w:w="7654" w:type="dxa"/>
            <w:shd w:val="clear" w:color="auto" w:fill="C5E0B3" w:themeFill="accent6" w:themeFillTint="66"/>
          </w:tcPr>
          <w:p w:rsidR="00D0666F" w:rsidRPr="003B31C4" w:rsidRDefault="00D0666F" w:rsidP="00D0666F">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1 credit at NCHU = 1 hour*18 weeks </w:t>
            </w:r>
            <w:r w:rsidR="003B31C4">
              <w:rPr>
                <w:rFonts w:ascii="Times New Roman" w:hAnsi="Times New Roman" w:cs="Times New Roman"/>
                <w:color w:val="000000"/>
                <w:sz w:val="20"/>
                <w:szCs w:val="20"/>
              </w:rPr>
              <w:t xml:space="preserve">     </w:t>
            </w:r>
            <w:r w:rsidRPr="003B31C4">
              <w:rPr>
                <w:rFonts w:ascii="Times New Roman" w:hAnsi="Times New Roman" w:cs="Times New Roman"/>
                <w:color w:val="000000"/>
                <w:sz w:val="20"/>
                <w:szCs w:val="20"/>
              </w:rPr>
              <w:t>1 credit</w:t>
            </w:r>
            <w:r w:rsidRPr="003B31C4">
              <w:rPr>
                <w:rFonts w:ascii="Cambria Math" w:eastAsia="...." w:hAnsi="Cambria Math" w:cs="Cambria Math"/>
                <w:color w:val="000000"/>
                <w:sz w:val="20"/>
                <w:szCs w:val="20"/>
              </w:rPr>
              <w:t>≒</w:t>
            </w:r>
            <w:r w:rsidRPr="003B31C4">
              <w:rPr>
                <w:rFonts w:ascii="Times New Roman" w:eastAsia="...." w:hAnsi="Times New Roman" w:cs="Times New Roman"/>
                <w:color w:val="000000"/>
                <w:sz w:val="20"/>
                <w:szCs w:val="20"/>
              </w:rPr>
              <w:t xml:space="preserve">2ECTS </w:t>
            </w:r>
          </w:p>
          <w:p w:rsidR="00D0666F" w:rsidRPr="003B31C4" w:rsidRDefault="00D0666F" w:rsidP="00D0666F">
            <w:pPr>
              <w:rPr>
                <w:rFonts w:ascii="Times New Roman" w:hAnsi="Times New Roman" w:cs="Times New Roman"/>
                <w:sz w:val="20"/>
                <w:szCs w:val="20"/>
              </w:rPr>
            </w:pPr>
            <w:r w:rsidRPr="003B31C4">
              <w:rPr>
                <w:rFonts w:ascii="Times New Roman" w:eastAsia="...." w:hAnsi="Times New Roman" w:cs="Times New Roman"/>
                <w:b/>
                <w:bCs/>
                <w:color w:val="000000"/>
                <w:sz w:val="20"/>
                <w:szCs w:val="20"/>
              </w:rPr>
              <w:t xml:space="preserve">PAX </w:t>
            </w:r>
            <w:r w:rsidRPr="003B31C4">
              <w:rPr>
                <w:rFonts w:ascii="Times New Roman" w:eastAsia="...." w:hAnsi="Times New Roman" w:cs="Times New Roman"/>
                <w:color w:val="000000"/>
                <w:sz w:val="20"/>
                <w:szCs w:val="20"/>
              </w:rPr>
              <w:t>students are required to register for at least two courses with 1 course in hosting department/institute. The students may also choose courses available in the hosting college to meet this requirement. If students wish to take courses taught in Chinese, they must show Chinese proficiency and/or get approval from the course instructor.</w:t>
            </w:r>
          </w:p>
        </w:tc>
      </w:tr>
      <w:tr w:rsidR="00D0666F" w:rsidTr="003B31C4">
        <w:trPr>
          <w:trHeight w:val="3870"/>
        </w:trPr>
        <w:tc>
          <w:tcPr>
            <w:tcW w:w="2694" w:type="dxa"/>
            <w:shd w:val="clear" w:color="auto" w:fill="C9C9C9" w:themeFill="accent3" w:themeFillTint="99"/>
          </w:tcPr>
          <w:tbl>
            <w:tblPr>
              <w:tblW w:w="0" w:type="auto"/>
              <w:tblBorders>
                <w:top w:val="nil"/>
                <w:left w:val="nil"/>
                <w:bottom w:val="nil"/>
                <w:right w:val="nil"/>
              </w:tblBorders>
              <w:tblLook w:val="0000" w:firstRow="0" w:lastRow="0" w:firstColumn="0" w:lastColumn="0" w:noHBand="0" w:noVBand="0"/>
            </w:tblPr>
            <w:tblGrid>
              <w:gridCol w:w="1877"/>
            </w:tblGrid>
            <w:tr w:rsidR="00D0666F" w:rsidRPr="003B31C4">
              <w:trPr>
                <w:trHeight w:val="146"/>
              </w:trPr>
              <w:tc>
                <w:tcPr>
                  <w:tcW w:w="0" w:type="auto"/>
                </w:tcPr>
                <w:p w:rsidR="00D0666F" w:rsidRPr="003B31C4" w:rsidRDefault="00D0666F" w:rsidP="00D0666F">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Academic Schedule </w:t>
                  </w:r>
                </w:p>
              </w:tc>
            </w:tr>
          </w:tbl>
          <w:p w:rsidR="00D0666F" w:rsidRPr="003B31C4" w:rsidRDefault="00D0666F">
            <w:pPr>
              <w:rPr>
                <w:rFonts w:ascii="Times New Roman" w:hAnsi="Times New Roman" w:cs="Times New Roman"/>
                <w:b/>
                <w:sz w:val="20"/>
                <w:szCs w:val="20"/>
              </w:rPr>
            </w:pPr>
          </w:p>
        </w:tc>
        <w:tc>
          <w:tcPr>
            <w:tcW w:w="7654" w:type="dxa"/>
            <w:shd w:val="clear" w:color="auto" w:fill="C5E0B3" w:themeFill="accent6" w:themeFillTint="66"/>
          </w:tcPr>
          <w:p w:rsidR="00D0666F" w:rsidRPr="003B31C4" w:rsidRDefault="003B31C4">
            <w:pPr>
              <w:rPr>
                <w:rFonts w:ascii="Times New Roman" w:hAnsi="Times New Roman" w:cs="Times New Roman"/>
                <w:sz w:val="20"/>
                <w:szCs w:val="20"/>
              </w:rPr>
            </w:pPr>
            <w:r w:rsidRPr="003B31C4">
              <w:rPr>
                <w:rFonts w:ascii="Times New Roman" w:hAnsi="Times New Roman" w:cs="Times New Roman"/>
                <w:sz w:val="20"/>
                <w:szCs w:val="20"/>
              </w:rPr>
              <w:t>*Please refer to the website of OIA for the updated academic schedule</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2"/>
              <w:gridCol w:w="5004"/>
            </w:tblGrid>
            <w:tr w:rsidR="00D0666F" w:rsidRPr="003B31C4" w:rsidTr="003B31C4">
              <w:trPr>
                <w:trHeight w:val="315"/>
              </w:trPr>
              <w:tc>
                <w:tcPr>
                  <w:tcW w:w="6246" w:type="dxa"/>
                  <w:gridSpan w:val="2"/>
                </w:tcPr>
                <w:p w:rsidR="00D0666F" w:rsidRPr="003B31C4" w:rsidRDefault="00D0666F">
                  <w:pPr>
                    <w:rPr>
                      <w:rFonts w:ascii="Times New Roman" w:hAnsi="Times New Roman" w:cs="Times New Roman"/>
                      <w:b/>
                      <w:sz w:val="20"/>
                      <w:szCs w:val="20"/>
                    </w:rPr>
                  </w:pPr>
                  <w:r w:rsidRPr="003B31C4">
                    <w:rPr>
                      <w:rFonts w:ascii="Times New Roman" w:hAnsi="Times New Roman" w:cs="Times New Roman"/>
                      <w:b/>
                      <w:sz w:val="20"/>
                      <w:szCs w:val="20"/>
                    </w:rPr>
                    <w:t>1st Semester (Fall)</w:t>
                  </w:r>
                </w:p>
              </w:tc>
            </w:tr>
            <w:tr w:rsidR="00D0666F" w:rsidRPr="003B31C4" w:rsidTr="003B31C4">
              <w:trPr>
                <w:trHeight w:val="180"/>
              </w:trPr>
              <w:tc>
                <w:tcPr>
                  <w:tcW w:w="1242" w:type="dxa"/>
                </w:tcPr>
                <w:p w:rsidR="00D0666F" w:rsidRPr="003B31C4" w:rsidRDefault="00D0666F" w:rsidP="00D0666F">
                  <w:pPr>
                    <w:rPr>
                      <w:rFonts w:ascii="Times New Roman" w:hAnsi="Times New Roman" w:cs="Times New Roman"/>
                      <w:sz w:val="20"/>
                      <w:szCs w:val="20"/>
                    </w:rPr>
                  </w:pPr>
                  <w:r w:rsidRPr="003B31C4">
                    <w:rPr>
                      <w:rFonts w:ascii="Times New Roman" w:hAnsi="Times New Roman" w:cs="Times New Roman"/>
                      <w:sz w:val="20"/>
                      <w:szCs w:val="20"/>
                    </w:rPr>
                    <w:t>September</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School Begins</w:t>
                  </w:r>
                </w:p>
              </w:tc>
            </w:tr>
            <w:tr w:rsidR="00D0666F" w:rsidRPr="003B31C4" w:rsidTr="003B31C4">
              <w:trPr>
                <w:trHeight w:val="328"/>
              </w:trPr>
              <w:tc>
                <w:tcPr>
                  <w:tcW w:w="1242"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November</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University Anniversary / Midterm Exams</w:t>
                  </w:r>
                </w:p>
              </w:tc>
            </w:tr>
            <w:tr w:rsidR="00D0666F" w:rsidRPr="003B31C4" w:rsidTr="003B31C4">
              <w:trPr>
                <w:trHeight w:val="334"/>
              </w:trPr>
              <w:tc>
                <w:tcPr>
                  <w:tcW w:w="1242"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January</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Final Exams / Winter Vacation Begins</w:t>
                  </w:r>
                </w:p>
              </w:tc>
            </w:tr>
            <w:tr w:rsidR="00D0666F" w:rsidRPr="003B31C4" w:rsidTr="003B31C4">
              <w:trPr>
                <w:trHeight w:val="340"/>
              </w:trPr>
              <w:tc>
                <w:tcPr>
                  <w:tcW w:w="6246" w:type="dxa"/>
                  <w:gridSpan w:val="2"/>
                </w:tcPr>
                <w:p w:rsidR="00D0666F" w:rsidRPr="003B31C4" w:rsidRDefault="00D0666F">
                  <w:pPr>
                    <w:rPr>
                      <w:rFonts w:ascii="Times New Roman" w:hAnsi="Times New Roman" w:cs="Times New Roman"/>
                      <w:b/>
                      <w:sz w:val="20"/>
                      <w:szCs w:val="20"/>
                    </w:rPr>
                  </w:pPr>
                  <w:r w:rsidRPr="003B31C4">
                    <w:rPr>
                      <w:rFonts w:ascii="Times New Roman" w:hAnsi="Times New Roman" w:cs="Times New Roman"/>
                      <w:b/>
                      <w:sz w:val="20"/>
                      <w:szCs w:val="20"/>
                    </w:rPr>
                    <w:t>2nd Semester (Spring)</w:t>
                  </w:r>
                </w:p>
              </w:tc>
            </w:tr>
            <w:tr w:rsidR="00D0666F" w:rsidRPr="003B31C4" w:rsidTr="003B31C4">
              <w:trPr>
                <w:trHeight w:val="346"/>
              </w:trPr>
              <w:tc>
                <w:tcPr>
                  <w:tcW w:w="1242" w:type="dxa"/>
                </w:tcPr>
                <w:p w:rsidR="00D0666F" w:rsidRPr="003B31C4" w:rsidRDefault="00D0666F" w:rsidP="00D0666F">
                  <w:pPr>
                    <w:rPr>
                      <w:rFonts w:ascii="Times New Roman" w:hAnsi="Times New Roman" w:cs="Times New Roman"/>
                      <w:sz w:val="20"/>
                      <w:szCs w:val="20"/>
                    </w:rPr>
                  </w:pPr>
                  <w:r w:rsidRPr="003B31C4">
                    <w:rPr>
                      <w:rFonts w:ascii="Times New Roman" w:hAnsi="Times New Roman" w:cs="Times New Roman"/>
                      <w:sz w:val="20"/>
                      <w:szCs w:val="20"/>
                    </w:rPr>
                    <w:t>February</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Chinese New Year / School begins</w:t>
                  </w:r>
                </w:p>
              </w:tc>
            </w:tr>
            <w:tr w:rsidR="00D0666F" w:rsidRPr="003B31C4" w:rsidTr="003B31C4">
              <w:trPr>
                <w:trHeight w:val="366"/>
              </w:trPr>
              <w:tc>
                <w:tcPr>
                  <w:tcW w:w="1242"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April</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Midterm Exams</w:t>
                  </w:r>
                </w:p>
              </w:tc>
            </w:tr>
            <w:tr w:rsidR="00D0666F" w:rsidRPr="003B31C4" w:rsidTr="003B31C4">
              <w:trPr>
                <w:trHeight w:val="216"/>
              </w:trPr>
              <w:tc>
                <w:tcPr>
                  <w:tcW w:w="1242"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June</w:t>
                  </w:r>
                </w:p>
              </w:tc>
              <w:tc>
                <w:tcPr>
                  <w:tcW w:w="5004" w:type="dxa"/>
                </w:tcPr>
                <w:p w:rsidR="00D0666F" w:rsidRPr="003B31C4" w:rsidRDefault="00D0666F">
                  <w:pPr>
                    <w:rPr>
                      <w:rFonts w:ascii="Times New Roman" w:hAnsi="Times New Roman" w:cs="Times New Roman"/>
                      <w:sz w:val="20"/>
                      <w:szCs w:val="20"/>
                    </w:rPr>
                  </w:pPr>
                  <w:r w:rsidRPr="003B31C4">
                    <w:rPr>
                      <w:rFonts w:ascii="Times New Roman" w:hAnsi="Times New Roman" w:cs="Times New Roman"/>
                      <w:sz w:val="20"/>
                      <w:szCs w:val="20"/>
                    </w:rPr>
                    <w:t>Final Exams / Summer Vacation Begins</w:t>
                  </w:r>
                </w:p>
              </w:tc>
            </w:tr>
          </w:tbl>
          <w:p w:rsidR="00D0666F" w:rsidRPr="003B31C4" w:rsidRDefault="00D0666F">
            <w:pPr>
              <w:rPr>
                <w:rFonts w:ascii="Times New Roman" w:hAnsi="Times New Roman" w:cs="Times New Roman"/>
                <w:sz w:val="20"/>
                <w:szCs w:val="20"/>
              </w:rPr>
            </w:pPr>
          </w:p>
        </w:tc>
      </w:tr>
      <w:tr w:rsidR="00D0666F" w:rsidTr="003B31C4">
        <w:trPr>
          <w:trHeight w:val="552"/>
        </w:trPr>
        <w:tc>
          <w:tcPr>
            <w:tcW w:w="2694" w:type="dxa"/>
            <w:shd w:val="clear" w:color="auto" w:fill="C9C9C9" w:themeFill="accent3" w:themeFillTint="99"/>
          </w:tcPr>
          <w:p w:rsidR="00D0666F" w:rsidRPr="003B31C4" w:rsidRDefault="00D0666F">
            <w:pPr>
              <w:rPr>
                <w:rFonts w:ascii="Times New Roman" w:hAnsi="Times New Roman" w:cs="Times New Roman"/>
                <w:b/>
                <w:sz w:val="20"/>
                <w:szCs w:val="20"/>
              </w:rPr>
            </w:pPr>
            <w:r w:rsidRPr="003B31C4">
              <w:rPr>
                <w:rFonts w:ascii="Times New Roman" w:hAnsi="Times New Roman" w:cs="Times New Roman"/>
                <w:b/>
                <w:sz w:val="20"/>
                <w:szCs w:val="20"/>
              </w:rPr>
              <w:t>Lab exchange</w:t>
            </w:r>
          </w:p>
        </w:tc>
        <w:tc>
          <w:tcPr>
            <w:tcW w:w="7654" w:type="dxa"/>
            <w:shd w:val="clear" w:color="auto" w:fill="C5E0B3" w:themeFill="accent6" w:themeFillTint="66"/>
          </w:tcPr>
          <w:p w:rsidR="00D0666F" w:rsidRPr="003B31C4" w:rsidRDefault="007A7D10" w:rsidP="003B31C4">
            <w:pPr>
              <w:pStyle w:val="AralkYok"/>
              <w:rPr>
                <w:rFonts w:ascii="Times New Roman" w:hAnsi="Times New Roman" w:cs="Times New Roman"/>
                <w:sz w:val="20"/>
                <w:szCs w:val="20"/>
              </w:rPr>
            </w:pPr>
            <w:r w:rsidRPr="003B31C4">
              <w:rPr>
                <w:rFonts w:ascii="Times New Roman" w:hAnsi="Times New Roman" w:cs="Times New Roman"/>
                <w:sz w:val="20"/>
                <w:szCs w:val="20"/>
              </w:rPr>
              <w:t>NCHU offers labs in many fields of study. For more information, please visit our website to see the 2021-22 Lab Exchange List.</w:t>
            </w:r>
          </w:p>
        </w:tc>
      </w:tr>
      <w:tr w:rsidR="007A7D10" w:rsidTr="003B31C4">
        <w:trPr>
          <w:trHeight w:val="968"/>
        </w:trPr>
        <w:tc>
          <w:tcPr>
            <w:tcW w:w="2694" w:type="dxa"/>
            <w:shd w:val="clear" w:color="auto" w:fill="C9C9C9" w:themeFill="accent3" w:themeFillTint="99"/>
          </w:tcPr>
          <w:p w:rsidR="007A7D10" w:rsidRPr="003B31C4" w:rsidRDefault="007A7D10" w:rsidP="007A7D10">
            <w:pPr>
              <w:rPr>
                <w:rFonts w:ascii="Times New Roman" w:hAnsi="Times New Roman" w:cs="Times New Roman"/>
                <w:b/>
                <w:sz w:val="20"/>
                <w:szCs w:val="20"/>
              </w:rPr>
            </w:pPr>
            <w:r w:rsidRPr="003B31C4">
              <w:rPr>
                <w:rFonts w:ascii="Times New Roman" w:hAnsi="Times New Roman" w:cs="Times New Roman"/>
                <w:b/>
                <w:sz w:val="20"/>
                <w:szCs w:val="20"/>
              </w:rPr>
              <w:t>Chinese Language Course</w:t>
            </w:r>
          </w:p>
          <w:p w:rsidR="007A7D10" w:rsidRPr="003B31C4" w:rsidRDefault="007A7D10" w:rsidP="007A7D10">
            <w:pPr>
              <w:rPr>
                <w:rFonts w:ascii="Times New Roman" w:hAnsi="Times New Roman" w:cs="Times New Roman"/>
                <w:b/>
                <w:sz w:val="20"/>
                <w:szCs w:val="20"/>
              </w:rPr>
            </w:pPr>
          </w:p>
        </w:tc>
        <w:tc>
          <w:tcPr>
            <w:tcW w:w="7654" w:type="dxa"/>
            <w:shd w:val="clear" w:color="auto" w:fill="C5E0B3" w:themeFill="accent6" w:themeFillTint="66"/>
          </w:tcPr>
          <w:p w:rsidR="007A7D10" w:rsidRPr="003B31C4" w:rsidRDefault="007A7D10" w:rsidP="003B31C4">
            <w:pPr>
              <w:pStyle w:val="AralkYok"/>
              <w:rPr>
                <w:rFonts w:ascii="Times New Roman" w:hAnsi="Times New Roman" w:cs="Times New Roman"/>
                <w:sz w:val="20"/>
                <w:szCs w:val="20"/>
              </w:rPr>
            </w:pPr>
            <w:r w:rsidRPr="003B31C4">
              <w:rPr>
                <w:rFonts w:ascii="Times New Roman" w:hAnsi="Times New Roman" w:cs="Times New Roman"/>
                <w:sz w:val="20"/>
                <w:szCs w:val="20"/>
              </w:rPr>
              <w:t>1. Credited Chinese Language Course: Practical Chinese I.II.III (The courses will be different depends on different semester.)</w:t>
            </w:r>
          </w:p>
          <w:p w:rsidR="007A7D10" w:rsidRPr="003B31C4" w:rsidRDefault="007A7D10" w:rsidP="003B31C4">
            <w:pPr>
              <w:pStyle w:val="AralkYok"/>
            </w:pPr>
            <w:r w:rsidRPr="003B31C4">
              <w:rPr>
                <w:rFonts w:ascii="Times New Roman" w:hAnsi="Times New Roman" w:cs="Times New Roman"/>
                <w:sz w:val="20"/>
                <w:szCs w:val="20"/>
              </w:rPr>
              <w:t>2. Non-Credit Chinese Language Courses: Fee-Paying Chinese Course (Please refer to Language Center’s Information: http://cp.nchu.edu.tw/en_index.php)</w:t>
            </w:r>
          </w:p>
        </w:tc>
      </w:tr>
      <w:tr w:rsidR="007A7D10" w:rsidRPr="007A7D10" w:rsidTr="003B31C4">
        <w:tblPrEx>
          <w:tblBorders>
            <w:top w:val="nil"/>
            <w:left w:val="nil"/>
            <w:bottom w:val="nil"/>
            <w:right w:val="nil"/>
            <w:insideH w:val="none" w:sz="0" w:space="0" w:color="auto"/>
            <w:insideV w:val="none" w:sz="0" w:space="0" w:color="auto"/>
          </w:tblBorders>
          <w:tblCellMar>
            <w:left w:w="108" w:type="dxa"/>
            <w:right w:w="108" w:type="dxa"/>
          </w:tblCellMar>
        </w:tblPrEx>
        <w:trPr>
          <w:trHeight w:val="185"/>
        </w:trPr>
        <w:tc>
          <w:tcPr>
            <w:tcW w:w="10348" w:type="dxa"/>
            <w:gridSpan w:val="2"/>
            <w:tcBorders>
              <w:top w:val="single" w:sz="4" w:space="0" w:color="auto"/>
              <w:left w:val="single" w:sz="4" w:space="0" w:color="auto"/>
              <w:right w:val="single" w:sz="4" w:space="0" w:color="auto"/>
            </w:tcBorders>
            <w:shd w:val="clear" w:color="auto" w:fill="F4B083" w:themeFill="accent2" w:themeFillTint="99"/>
          </w:tcPr>
          <w:p w:rsidR="007A7D10" w:rsidRPr="003B31C4" w:rsidRDefault="007A7D10" w:rsidP="006F17B5">
            <w:pPr>
              <w:autoSpaceDE w:val="0"/>
              <w:autoSpaceDN w:val="0"/>
              <w:adjustRightInd w:val="0"/>
              <w:spacing w:after="0" w:line="240" w:lineRule="auto"/>
              <w:jc w:val="center"/>
              <w:rPr>
                <w:rFonts w:ascii="Times New Roman" w:hAnsi="Times New Roman" w:cs="Times New Roman"/>
                <w:color w:val="000000"/>
                <w:sz w:val="20"/>
                <w:szCs w:val="20"/>
              </w:rPr>
            </w:pPr>
            <w:r w:rsidRPr="003B31C4">
              <w:rPr>
                <w:rFonts w:ascii="Times New Roman" w:hAnsi="Times New Roman" w:cs="Times New Roman"/>
                <w:b/>
                <w:bCs/>
                <w:color w:val="000000"/>
                <w:sz w:val="20"/>
                <w:szCs w:val="20"/>
              </w:rPr>
              <w:t>Student Life</w:t>
            </w:r>
          </w:p>
        </w:tc>
      </w:tr>
      <w:tr w:rsidR="007A7D10" w:rsidRPr="007A7D10" w:rsidTr="003B31C4">
        <w:tblPrEx>
          <w:tblBorders>
            <w:top w:val="nil"/>
            <w:left w:val="nil"/>
            <w:bottom w:val="nil"/>
            <w:right w:val="nil"/>
            <w:insideH w:val="none" w:sz="0" w:space="0" w:color="auto"/>
            <w:insideV w:val="none" w:sz="0" w:space="0" w:color="auto"/>
          </w:tblBorders>
          <w:tblCellMar>
            <w:left w:w="108" w:type="dxa"/>
            <w:right w:w="108" w:type="dxa"/>
          </w:tblCellMar>
        </w:tblPrEx>
        <w:trPr>
          <w:trHeight w:val="694"/>
        </w:trPr>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A7D10" w:rsidRPr="003B31C4" w:rsidRDefault="007A7D10" w:rsidP="007A7D10">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Exchange Student Information </w:t>
            </w:r>
          </w:p>
        </w:tc>
        <w:tc>
          <w:tcPr>
            <w:tcW w:w="76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For the details, please visit the website of Office of International Affairs and go browsing as follows: </w:t>
            </w:r>
            <w:r w:rsidRPr="003B31C4">
              <w:rPr>
                <w:rFonts w:ascii="Times New Roman" w:hAnsi="Times New Roman" w:cs="Times New Roman"/>
                <w:i/>
                <w:iCs/>
                <w:color w:val="000000"/>
                <w:sz w:val="20"/>
                <w:szCs w:val="20"/>
              </w:rPr>
              <w:t xml:space="preserve">(Home &gt; For Students &gt; International Students &gt; PAX /Life at NCHU) </w:t>
            </w:r>
          </w:p>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We will keep the information of PAX and Lab Exchange updated on our website. </w:t>
            </w:r>
          </w:p>
        </w:tc>
      </w:tr>
      <w:tr w:rsidR="007A7D10" w:rsidRPr="007A7D10" w:rsidTr="003B31C4">
        <w:tblPrEx>
          <w:tblBorders>
            <w:top w:val="nil"/>
            <w:left w:val="nil"/>
            <w:bottom w:val="nil"/>
            <w:right w:val="nil"/>
            <w:insideH w:val="none" w:sz="0" w:space="0" w:color="auto"/>
            <w:insideV w:val="none" w:sz="0" w:space="0" w:color="auto"/>
          </w:tblBorders>
          <w:tblCellMar>
            <w:left w:w="108" w:type="dxa"/>
            <w:right w:w="108" w:type="dxa"/>
          </w:tblCellMar>
        </w:tblPrEx>
        <w:trPr>
          <w:trHeight w:val="841"/>
        </w:trPr>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A7D10" w:rsidRPr="003B31C4" w:rsidRDefault="007A7D10" w:rsidP="007A7D10">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Accommodations </w:t>
            </w:r>
          </w:p>
        </w:tc>
        <w:tc>
          <w:tcPr>
            <w:tcW w:w="76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Students need to pay for fees required for living in NCHU dormitory per semester (about 5 months): Basic fees for one semester, including electricity, public cleaning, etc. around NT$14,800/Male Dormitory (US$490) and NT$13,000/Female Dormitory (US$430). </w:t>
            </w:r>
          </w:p>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 Please notice that Students will be located different dormitories every semester. The price we provide is for your reference. The Division of Student Housing Service will provide the updated prices. </w:t>
            </w:r>
          </w:p>
        </w:tc>
      </w:tr>
      <w:tr w:rsidR="007A7D10" w:rsidRPr="007A7D10" w:rsidTr="003B31C4">
        <w:tblPrEx>
          <w:tblBorders>
            <w:top w:val="nil"/>
            <w:left w:val="nil"/>
            <w:bottom w:val="nil"/>
            <w:right w:val="nil"/>
            <w:insideH w:val="none" w:sz="0" w:space="0" w:color="auto"/>
            <w:insideV w:val="none" w:sz="0" w:space="0" w:color="auto"/>
          </w:tblBorders>
          <w:tblCellMar>
            <w:left w:w="108" w:type="dxa"/>
            <w:right w:w="108" w:type="dxa"/>
          </w:tblCellMar>
        </w:tblPrEx>
        <w:trPr>
          <w:trHeight w:val="700"/>
        </w:trPr>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A7D10" w:rsidRPr="003B31C4" w:rsidRDefault="007A7D10" w:rsidP="007A7D10">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Insurance </w:t>
            </w:r>
          </w:p>
        </w:tc>
        <w:tc>
          <w:tcPr>
            <w:tcW w:w="76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A7D10" w:rsidRPr="003B31C4" w:rsidRDefault="007A7D10" w:rsidP="003B31C4">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Exchange students must have insurance while at NCHU. If you have overseas emergency medical insurance from your own country, please bring it with you (must be in English). If not, students must pay own insurance fee during registration process. </w:t>
            </w:r>
          </w:p>
        </w:tc>
      </w:tr>
      <w:tr w:rsidR="007A7D10" w:rsidRPr="007A7D10" w:rsidTr="003B31C4">
        <w:tblPrEx>
          <w:tblBorders>
            <w:top w:val="nil"/>
            <w:left w:val="nil"/>
            <w:bottom w:val="nil"/>
            <w:right w:val="nil"/>
            <w:insideH w:val="none" w:sz="0" w:space="0" w:color="auto"/>
            <w:insideV w:val="none" w:sz="0" w:space="0" w:color="auto"/>
          </w:tblBorders>
          <w:tblCellMar>
            <w:left w:w="108" w:type="dxa"/>
            <w:right w:w="108" w:type="dxa"/>
          </w:tblCellMar>
        </w:tblPrEx>
        <w:trPr>
          <w:trHeight w:val="619"/>
        </w:trPr>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A7D10" w:rsidRPr="003B31C4" w:rsidRDefault="007A7D10" w:rsidP="007A7D10">
            <w:pPr>
              <w:autoSpaceDE w:val="0"/>
              <w:autoSpaceDN w:val="0"/>
              <w:adjustRightInd w:val="0"/>
              <w:spacing w:after="0" w:line="240" w:lineRule="auto"/>
              <w:rPr>
                <w:rFonts w:ascii="Times New Roman" w:hAnsi="Times New Roman" w:cs="Times New Roman"/>
                <w:b/>
                <w:color w:val="000000"/>
                <w:sz w:val="20"/>
                <w:szCs w:val="20"/>
              </w:rPr>
            </w:pPr>
            <w:r w:rsidRPr="003B31C4">
              <w:rPr>
                <w:rFonts w:ascii="Times New Roman" w:hAnsi="Times New Roman" w:cs="Times New Roman"/>
                <w:b/>
                <w:color w:val="000000"/>
                <w:sz w:val="20"/>
                <w:szCs w:val="20"/>
              </w:rPr>
              <w:t xml:space="preserve">Information for International Students </w:t>
            </w:r>
          </w:p>
        </w:tc>
        <w:tc>
          <w:tcPr>
            <w:tcW w:w="76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 xml:space="preserve">For more information, please visit NCHU Office of International Affairs </w:t>
            </w:r>
          </w:p>
          <w:p w:rsidR="007A7D10" w:rsidRPr="003B31C4" w:rsidRDefault="007A7D10" w:rsidP="007A7D10">
            <w:pPr>
              <w:autoSpaceDE w:val="0"/>
              <w:autoSpaceDN w:val="0"/>
              <w:adjustRightInd w:val="0"/>
              <w:spacing w:after="0" w:line="240" w:lineRule="auto"/>
              <w:rPr>
                <w:rFonts w:ascii="Times New Roman" w:hAnsi="Times New Roman" w:cs="Times New Roman"/>
                <w:color w:val="000000"/>
                <w:sz w:val="20"/>
                <w:szCs w:val="20"/>
              </w:rPr>
            </w:pPr>
            <w:r w:rsidRPr="003B31C4">
              <w:rPr>
                <w:rFonts w:ascii="Times New Roman" w:hAnsi="Times New Roman" w:cs="Times New Roman"/>
                <w:color w:val="000000"/>
                <w:sz w:val="20"/>
                <w:szCs w:val="20"/>
              </w:rPr>
              <w:t>(</w:t>
            </w:r>
            <w:r w:rsidRPr="003B31C4">
              <w:rPr>
                <w:rFonts w:ascii="Times New Roman" w:hAnsi="Times New Roman" w:cs="Times New Roman"/>
                <w:i/>
                <w:iCs/>
                <w:color w:val="000000"/>
                <w:sz w:val="20"/>
                <w:szCs w:val="20"/>
              </w:rPr>
              <w:t>Home &gt; For Students &gt; International Students &gt; Study at NCHU</w:t>
            </w:r>
            <w:r w:rsidRPr="003B31C4">
              <w:rPr>
                <w:rFonts w:ascii="Times New Roman" w:hAnsi="Times New Roman" w:cs="Times New Roman"/>
                <w:color w:val="000000"/>
                <w:sz w:val="20"/>
                <w:szCs w:val="20"/>
              </w:rPr>
              <w:t xml:space="preserve">) </w:t>
            </w:r>
          </w:p>
        </w:tc>
      </w:tr>
    </w:tbl>
    <w:p w:rsidR="008E7FDA" w:rsidRPr="007A7D10" w:rsidRDefault="006F17B5" w:rsidP="007A7D10">
      <w:pPr>
        <w:rPr>
          <w:rFonts w:ascii="Times New Roman" w:hAnsi="Times New Roman" w:cs="Times New Roman"/>
          <w:sz w:val="20"/>
          <w:szCs w:val="20"/>
        </w:rPr>
      </w:pPr>
      <w:r>
        <w:rPr>
          <w:rFonts w:ascii="Times New Roman" w:hAnsi="Times New Roman" w:cs="Times New Roman"/>
          <w:sz w:val="20"/>
          <w:szCs w:val="20"/>
        </w:rPr>
        <w:t xml:space="preserve"> </w:t>
      </w:r>
    </w:p>
    <w:sectPr w:rsidR="008E7FDA" w:rsidRPr="007A7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B6" w:rsidRDefault="007C12B6" w:rsidP="007A7D10">
      <w:pPr>
        <w:spacing w:after="0" w:line="240" w:lineRule="auto"/>
      </w:pPr>
      <w:r>
        <w:separator/>
      </w:r>
    </w:p>
  </w:endnote>
  <w:endnote w:type="continuationSeparator" w:id="0">
    <w:p w:rsidR="007C12B6" w:rsidRDefault="007C12B6" w:rsidP="007A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
    <w:altName w:val="...."/>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B6" w:rsidRDefault="007C12B6" w:rsidP="007A7D10">
      <w:pPr>
        <w:spacing w:after="0" w:line="240" w:lineRule="auto"/>
      </w:pPr>
      <w:r>
        <w:separator/>
      </w:r>
    </w:p>
  </w:footnote>
  <w:footnote w:type="continuationSeparator" w:id="0">
    <w:p w:rsidR="007C12B6" w:rsidRDefault="007C12B6" w:rsidP="007A7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6F"/>
    <w:rsid w:val="002B69D6"/>
    <w:rsid w:val="003563C8"/>
    <w:rsid w:val="003B31C4"/>
    <w:rsid w:val="006F17B5"/>
    <w:rsid w:val="007A7D10"/>
    <w:rsid w:val="007C12B6"/>
    <w:rsid w:val="008E7FDA"/>
    <w:rsid w:val="00B111E5"/>
    <w:rsid w:val="00B56B33"/>
    <w:rsid w:val="00D0666F"/>
    <w:rsid w:val="00E71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2E727-9CE4-4002-AD6B-CCB7924C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666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7A7D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7D10"/>
  </w:style>
  <w:style w:type="paragraph" w:styleId="AltBilgi">
    <w:name w:val="footer"/>
    <w:basedOn w:val="Normal"/>
    <w:link w:val="AltBilgiChar"/>
    <w:uiPriority w:val="99"/>
    <w:unhideWhenUsed/>
    <w:rsid w:val="007A7D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7D10"/>
  </w:style>
  <w:style w:type="character" w:styleId="Kpr">
    <w:name w:val="Hyperlink"/>
    <w:basedOn w:val="VarsaylanParagrafYazTipi"/>
    <w:uiPriority w:val="99"/>
    <w:unhideWhenUsed/>
    <w:rsid w:val="006F17B5"/>
    <w:rPr>
      <w:color w:val="0563C1" w:themeColor="hyperlink"/>
      <w:u w:val="single"/>
    </w:rPr>
  </w:style>
  <w:style w:type="paragraph" w:styleId="AralkYok">
    <w:name w:val="No Spacing"/>
    <w:uiPriority w:val="1"/>
    <w:qFormat/>
    <w:rsid w:val="003B3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rse@dragon.nch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70C1-7C50-45F6-963B-86BDF570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dc:creator>
  <cp:keywords/>
  <dc:description/>
  <cp:lastModifiedBy>Tg</cp:lastModifiedBy>
  <cp:revision>2</cp:revision>
  <dcterms:created xsi:type="dcterms:W3CDTF">2021-02-17T10:54:00Z</dcterms:created>
  <dcterms:modified xsi:type="dcterms:W3CDTF">2021-02-17T10:54:00Z</dcterms:modified>
</cp:coreProperties>
</file>