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4317"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738AAA2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71922F7A" wp14:editId="10344738">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29AEDAC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40D110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4537E4D"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2214FBA"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FC60E0"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771D1DBB"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30A7D27"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470228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CE86077" w14:textId="59C82F22" w:rsidR="00ED5AD5" w:rsidRPr="005F024A"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BİLİŞİM SİSTEMLERİ VE TEKNOLOJİ</w:t>
      </w:r>
    </w:p>
    <w:p w14:paraId="09C99884"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5ECA6E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CC4A3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2489080" w14:textId="645EFCA7" w:rsidR="00ED5AD5"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Komisyon Üyeleri</w:t>
      </w:r>
    </w:p>
    <w:p w14:paraId="3AF2A3A0" w14:textId="77777777" w:rsidR="00B90545" w:rsidRPr="005F024A"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0B9CD390" w14:textId="3F662200" w:rsidR="00B90545"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Prof. Dr. Alper AYTEKİN</w:t>
      </w:r>
    </w:p>
    <w:p w14:paraId="14DC5AE4" w14:textId="2DF970F4" w:rsidR="00ED5AD5"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Dr. Öğr. Üyesi Elif NAZL</w:t>
      </w:r>
      <w:r w:rsidR="0069443C">
        <w:rPr>
          <w:rFonts w:ascii="Times New Roman" w:eastAsia="Times New Roman" w:hAnsi="Times New Roman"/>
          <w:b/>
          <w:color w:val="0D0D0D"/>
          <w:sz w:val="32"/>
          <w:szCs w:val="32"/>
        </w:rPr>
        <w:t>I</w:t>
      </w:r>
      <w:r>
        <w:rPr>
          <w:rFonts w:ascii="Times New Roman" w:eastAsia="Times New Roman" w:hAnsi="Times New Roman"/>
          <w:b/>
          <w:color w:val="0D0D0D"/>
          <w:sz w:val="32"/>
          <w:szCs w:val="32"/>
        </w:rPr>
        <w:t xml:space="preserve"> KANAL</w:t>
      </w:r>
    </w:p>
    <w:p w14:paraId="06FD7A28" w14:textId="0CFE52F0" w:rsidR="00B90545"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Öğrenci Samet ÇELİK</w:t>
      </w:r>
    </w:p>
    <w:p w14:paraId="5BF1B0C7" w14:textId="77777777" w:rsidR="00B90545" w:rsidRPr="005F024A" w:rsidRDefault="00B9054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4978EE1" w14:textId="77777777" w:rsidR="00ED5AD5" w:rsidRPr="005F024A" w:rsidRDefault="00ED5AD5" w:rsidP="00ED5AD5">
      <w:pPr>
        <w:jc w:val="center"/>
        <w:rPr>
          <w:rFonts w:ascii="Times New Roman" w:eastAsia="Times New Roman" w:hAnsi="Times New Roman"/>
          <w:b/>
          <w:color w:val="0D0D0D"/>
          <w:sz w:val="32"/>
          <w:szCs w:val="32"/>
        </w:rPr>
      </w:pPr>
    </w:p>
    <w:p w14:paraId="25513478" w14:textId="77777777" w:rsidR="00ED5AD5" w:rsidRPr="005F024A" w:rsidRDefault="00ED5AD5" w:rsidP="00ED5AD5">
      <w:pPr>
        <w:jc w:val="center"/>
        <w:rPr>
          <w:rFonts w:ascii="Times New Roman" w:eastAsia="Times New Roman" w:hAnsi="Times New Roman"/>
          <w:b/>
          <w:color w:val="0D0D0D"/>
          <w:sz w:val="32"/>
          <w:szCs w:val="32"/>
        </w:rPr>
      </w:pPr>
    </w:p>
    <w:p w14:paraId="4F12DDFE" w14:textId="77777777" w:rsidR="00ED5AD5" w:rsidRPr="005F024A" w:rsidRDefault="00ED5AD5" w:rsidP="00ED5AD5">
      <w:pPr>
        <w:jc w:val="center"/>
        <w:rPr>
          <w:rFonts w:ascii="Times New Roman" w:eastAsia="Times New Roman" w:hAnsi="Times New Roman"/>
          <w:b/>
          <w:color w:val="0D0D0D"/>
          <w:sz w:val="32"/>
          <w:szCs w:val="32"/>
        </w:rPr>
      </w:pPr>
    </w:p>
    <w:p w14:paraId="21DB3CEE" w14:textId="02EBEE69" w:rsidR="00ED5AD5" w:rsidRPr="005F024A" w:rsidRDefault="001C3D8C"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3</w:t>
      </w:r>
      <w:r w:rsidR="00B44923">
        <w:rPr>
          <w:rFonts w:ascii="Times New Roman" w:eastAsia="Times New Roman" w:hAnsi="Times New Roman"/>
          <w:b/>
          <w:color w:val="0D0D0D"/>
          <w:sz w:val="32"/>
          <w:szCs w:val="32"/>
        </w:rPr>
        <w:t>0</w:t>
      </w:r>
      <w:r>
        <w:rPr>
          <w:rFonts w:ascii="Times New Roman" w:eastAsia="Times New Roman" w:hAnsi="Times New Roman"/>
          <w:b/>
          <w:color w:val="0D0D0D"/>
          <w:sz w:val="32"/>
          <w:szCs w:val="32"/>
        </w:rPr>
        <w:t>.12.2024</w:t>
      </w:r>
    </w:p>
    <w:p w14:paraId="72BD4043"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61574752"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6C57EDBA"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0447E9B7"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55DDCFBF"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3977AA0E"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039D2DA" w14:textId="77777777" w:rsidTr="00002C7F">
        <w:tc>
          <w:tcPr>
            <w:tcW w:w="4365" w:type="dxa"/>
            <w:shd w:val="clear" w:color="auto" w:fill="auto"/>
          </w:tcPr>
          <w:p w14:paraId="3EC3A27E"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723D999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E7A79A" w14:textId="77777777" w:rsidTr="00002C7F">
        <w:tc>
          <w:tcPr>
            <w:tcW w:w="4365" w:type="dxa"/>
            <w:shd w:val="clear" w:color="auto" w:fill="auto"/>
          </w:tcPr>
          <w:p w14:paraId="055ADA6D"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097A4A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33809F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686CED9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35E3D4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002C7F">
              <w:rPr>
                <w:rFonts w:ascii="Times New Roman" w:eastAsia="Times New Roman" w:hAnsi="Times New Roman"/>
                <w:b/>
                <w:i/>
                <w:sz w:val="24"/>
                <w:szCs w:val="24"/>
                <w:highlight w:val="yellow"/>
              </w:rPr>
              <w:t>4</w:t>
            </w:r>
          </w:p>
        </w:tc>
        <w:tc>
          <w:tcPr>
            <w:tcW w:w="883" w:type="dxa"/>
            <w:shd w:val="clear" w:color="auto" w:fill="auto"/>
          </w:tcPr>
          <w:p w14:paraId="004DF6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3D1230" w14:textId="2BAB4FA4" w:rsidR="00002C7F" w:rsidRPr="00507607" w:rsidRDefault="00002C7F" w:rsidP="00002C7F">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B44923" w:rsidRPr="00B44923">
        <w:rPr>
          <w:rFonts w:ascii="Times New Roman" w:eastAsia="Times New Roman" w:hAnsi="Times New Roman"/>
          <w:sz w:val="20"/>
          <w:szCs w:val="20"/>
        </w:rPr>
        <w:t>Bilişim Sistemleri ve Teknoloji</w:t>
      </w:r>
      <w:r w:rsidR="00B44923">
        <w:rPr>
          <w:rFonts w:ascii="Times New Roman" w:eastAsia="Times New Roman" w:hAnsi="Times New Roman"/>
          <w:sz w:val="20"/>
          <w:szCs w:val="20"/>
        </w:rPr>
        <w:t xml:space="preserve"> bölümü</w:t>
      </w:r>
      <w:r w:rsidRPr="00507607">
        <w:rPr>
          <w:rFonts w:ascii="Times New Roman" w:eastAsia="Times New Roman" w:hAnsi="Times New Roman"/>
          <w:noProof/>
          <w:color w:val="000000"/>
          <w:sz w:val="20"/>
          <w:szCs w:val="20"/>
        </w:rPr>
        <w:t xml:space="preserve"> yönetişim modeli ve organizasyonel yapılanması  akademik birimlerin genelini kapsamakta olup her bir akademik ve idari personel tarafından içselleştirilebilir ve sürdürülebilir olması yönünde gerekli uygulamalar ve düzenlemeler yapılmaktadır. Ayrıca Fakültemize ait organizasyon şeması , görev tanımları ve iş akış süreçleri resmi sitemizde yayınlanarak paydaşlarca bilinirliği sağlanmıştır.</w:t>
      </w:r>
    </w:p>
    <w:p w14:paraId="26EF8FA9" w14:textId="77777777" w:rsidR="00002C7F" w:rsidRPr="00507607" w:rsidRDefault="00002C7F" w:rsidP="00002C7F">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Görev Tanımları: https://</w:t>
      </w:r>
      <w:hyperlink r:id="rId5" w:history="1">
        <w:r w:rsidRPr="00AA1969">
          <w:rPr>
            <w:rStyle w:val="Kpr"/>
            <w:rFonts w:ascii="Times New Roman" w:eastAsia="Times New Roman" w:hAnsi="Times New Roman"/>
            <w:noProof/>
            <w:sz w:val="20"/>
            <w:szCs w:val="20"/>
          </w:rPr>
          <w:t>www.ohu.edu.tr/iibf/sayfa/gorev-tanimlari</w:t>
        </w:r>
      </w:hyperlink>
      <w:r w:rsidRPr="00507607">
        <w:rPr>
          <w:rFonts w:ascii="Times New Roman" w:eastAsia="Times New Roman" w:hAnsi="Times New Roman"/>
          <w:noProof/>
          <w:color w:val="000000"/>
          <w:sz w:val="20"/>
          <w:szCs w:val="20"/>
        </w:rPr>
        <w:t xml:space="preserve"> </w:t>
      </w:r>
    </w:p>
    <w:p w14:paraId="4F67002A" w14:textId="77777777" w:rsidR="00002C7F" w:rsidRPr="00507607" w:rsidRDefault="00002C7F" w:rsidP="00002C7F">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İş Akış Süreçleri: https://</w:t>
      </w:r>
      <w:hyperlink r:id="rId6" w:history="1">
        <w:r w:rsidRPr="001A154D">
          <w:rPr>
            <w:rStyle w:val="Kpr"/>
            <w:rFonts w:ascii="Times New Roman" w:eastAsia="Times New Roman" w:hAnsi="Times New Roman"/>
            <w:noProof/>
            <w:sz w:val="20"/>
            <w:szCs w:val="20"/>
          </w:rPr>
          <w:t>https://www.ohu.edu.tr/iibf/sayfa/is-akis-surecleri</w:t>
        </w:r>
      </w:hyperlink>
    </w:p>
    <w:p w14:paraId="57159C75" w14:textId="2BA41EC8" w:rsidR="00ED5AD5" w:rsidRPr="00002C7F" w:rsidRDefault="00002C7F" w:rsidP="00002C7F">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Organizasyon Şeması: </w:t>
      </w:r>
      <w:hyperlink r:id="rId7" w:history="1">
        <w:r w:rsidRPr="00B306A9">
          <w:rPr>
            <w:rStyle w:val="Kpr"/>
            <w:rFonts w:ascii="Times New Roman" w:eastAsia="Times New Roman" w:hAnsi="Times New Roman"/>
            <w:noProof/>
            <w:sz w:val="20"/>
            <w:szCs w:val="20"/>
          </w:rPr>
          <w:t>https://www.ohu.edu.tr/iibf/sayfa/organizasyon-semasi</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190C049F" w14:textId="77777777" w:rsidTr="00002C7F">
        <w:tc>
          <w:tcPr>
            <w:tcW w:w="4365" w:type="dxa"/>
            <w:shd w:val="clear" w:color="auto" w:fill="auto"/>
          </w:tcPr>
          <w:p w14:paraId="732010BD"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302F13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97A648" w14:textId="77777777" w:rsidTr="00002C7F">
        <w:tc>
          <w:tcPr>
            <w:tcW w:w="4365" w:type="dxa"/>
            <w:shd w:val="clear" w:color="auto" w:fill="auto"/>
          </w:tcPr>
          <w:p w14:paraId="7D1A098C"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6AED2C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27C2D9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793082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5509EFB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002C7F">
              <w:rPr>
                <w:rFonts w:ascii="Times New Roman" w:eastAsia="Times New Roman" w:hAnsi="Times New Roman"/>
                <w:b/>
                <w:i/>
                <w:sz w:val="24"/>
                <w:szCs w:val="24"/>
                <w:highlight w:val="yellow"/>
              </w:rPr>
              <w:t>4</w:t>
            </w:r>
          </w:p>
        </w:tc>
        <w:tc>
          <w:tcPr>
            <w:tcW w:w="883" w:type="dxa"/>
            <w:shd w:val="clear" w:color="auto" w:fill="auto"/>
          </w:tcPr>
          <w:p w14:paraId="793EFDB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4D2BB26" w14:textId="3FDB7ACA" w:rsidR="00ED5AD5" w:rsidRPr="00B44923" w:rsidRDefault="00002C7F" w:rsidP="00002C7F">
      <w:pPr>
        <w:widowControl w:val="0"/>
        <w:spacing w:after="0" w:line="360" w:lineRule="auto"/>
        <w:ind w:left="426" w:right="62"/>
        <w:jc w:val="both"/>
        <w:rPr>
          <w:rFonts w:ascii="Times New Roman" w:eastAsia="Times New Roman" w:hAnsi="Times New Roman"/>
          <w:bCs/>
          <w:iCs/>
          <w:sz w:val="20"/>
          <w:szCs w:val="20"/>
        </w:rPr>
      </w:pPr>
      <w:r w:rsidRPr="00507607">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4</w:t>
      </w:r>
      <w:r w:rsidRPr="00507607">
        <w:rPr>
          <w:rFonts w:ascii="Times New Roman" w:eastAsia="Times New Roman" w:hAnsi="Times New Roman"/>
          <w:b/>
          <w:bCs/>
          <w:noProof/>
          <w:color w:val="000000"/>
          <w:sz w:val="20"/>
          <w:szCs w:val="20"/>
        </w:rPr>
        <w:t>:</w:t>
      </w:r>
      <w:r w:rsidRPr="00507607">
        <w:rPr>
          <w:rFonts w:ascii="Times New Roman" w:eastAsia="Times New Roman" w:hAnsi="Times New Roman"/>
          <w:noProof/>
          <w:color w:val="000000"/>
          <w:sz w:val="20"/>
          <w:szCs w:val="20"/>
        </w:rPr>
        <w:t xml:space="preserve"> </w:t>
      </w:r>
      <w:r w:rsidRPr="00B44923">
        <w:rPr>
          <w:rFonts w:ascii="Times New Roman" w:eastAsia="Times New Roman" w:hAnsi="Times New Roman"/>
          <w:sz w:val="20"/>
          <w:szCs w:val="20"/>
        </w:rPr>
        <w:t>Bilişim Sistemleri ve Teknoloji bölümü değerleri</w:t>
      </w:r>
      <w:r w:rsidRPr="00B44923">
        <w:rPr>
          <w:rFonts w:ascii="Times New Roman" w:eastAsia="Times New Roman" w:hAnsi="Times New Roman"/>
          <w:spacing w:val="-1"/>
          <w:sz w:val="20"/>
          <w:szCs w:val="20"/>
        </w:rPr>
        <w:t xml:space="preserve"> </w:t>
      </w:r>
      <w:r w:rsidRPr="00B44923">
        <w:rPr>
          <w:rFonts w:ascii="Times New Roman" w:eastAsia="Times New Roman" w:hAnsi="Times New Roman"/>
          <w:sz w:val="20"/>
          <w:szCs w:val="20"/>
        </w:rPr>
        <w:t>ve hedefleri doğrultusunda</w:t>
      </w:r>
      <w:r w:rsidRPr="00B44923">
        <w:rPr>
          <w:rFonts w:ascii="Times New Roman" w:eastAsia="Times New Roman" w:hAnsi="Times New Roman"/>
          <w:spacing w:val="-4"/>
          <w:sz w:val="20"/>
          <w:szCs w:val="20"/>
        </w:rPr>
        <w:t xml:space="preserve"> </w:t>
      </w:r>
      <w:r w:rsidRPr="00B44923">
        <w:rPr>
          <w:rFonts w:ascii="Times New Roman" w:eastAsia="Times New Roman" w:hAnsi="Times New Roman"/>
          <w:sz w:val="20"/>
          <w:szCs w:val="20"/>
        </w:rPr>
        <w:t>yeniliklere</w:t>
      </w:r>
      <w:r w:rsidRPr="00B44923">
        <w:rPr>
          <w:rFonts w:ascii="Times New Roman" w:eastAsia="Times New Roman" w:hAnsi="Times New Roman"/>
          <w:spacing w:val="-1"/>
          <w:sz w:val="20"/>
          <w:szCs w:val="20"/>
        </w:rPr>
        <w:t xml:space="preserve"> </w:t>
      </w:r>
      <w:r w:rsidRPr="00B44923">
        <w:rPr>
          <w:rFonts w:ascii="Times New Roman" w:eastAsia="Times New Roman" w:hAnsi="Times New Roman"/>
          <w:sz w:val="20"/>
          <w:szCs w:val="20"/>
        </w:rPr>
        <w:t>açık, farkındalığı</w:t>
      </w:r>
      <w:r w:rsidRPr="00B44923">
        <w:rPr>
          <w:rFonts w:ascii="Times New Roman" w:eastAsia="Times New Roman" w:hAnsi="Times New Roman"/>
          <w:spacing w:val="-4"/>
          <w:sz w:val="20"/>
          <w:szCs w:val="20"/>
        </w:rPr>
        <w:t xml:space="preserve"> </w:t>
      </w:r>
      <w:r w:rsidRPr="00B44923">
        <w:rPr>
          <w:rFonts w:ascii="Times New Roman" w:eastAsia="Times New Roman" w:hAnsi="Times New Roman"/>
          <w:sz w:val="20"/>
          <w:szCs w:val="20"/>
        </w:rPr>
        <w:t>yüksek, motive edici ve bütünleştirici bir</w:t>
      </w:r>
      <w:r w:rsidRPr="00B44923">
        <w:rPr>
          <w:rFonts w:ascii="Times New Roman" w:eastAsia="Times New Roman" w:hAnsi="Times New Roman"/>
          <w:spacing w:val="-4"/>
          <w:sz w:val="20"/>
          <w:szCs w:val="20"/>
        </w:rPr>
        <w:t xml:space="preserve"> </w:t>
      </w:r>
      <w:r w:rsidRPr="00B44923">
        <w:rPr>
          <w:rFonts w:ascii="Times New Roman" w:eastAsia="Times New Roman" w:hAnsi="Times New Roman"/>
          <w:sz w:val="20"/>
          <w:szCs w:val="20"/>
        </w:rPr>
        <w:t>liderlik</w:t>
      </w:r>
      <w:r w:rsidRPr="00B44923">
        <w:rPr>
          <w:rFonts w:ascii="Times New Roman" w:eastAsia="Times New Roman" w:hAnsi="Times New Roman"/>
          <w:spacing w:val="-11"/>
          <w:sz w:val="20"/>
          <w:szCs w:val="20"/>
        </w:rPr>
        <w:t xml:space="preserve"> </w:t>
      </w:r>
      <w:r w:rsidRPr="00B44923">
        <w:rPr>
          <w:rFonts w:ascii="Times New Roman" w:eastAsia="Times New Roman" w:hAnsi="Times New Roman"/>
          <w:sz w:val="20"/>
          <w:szCs w:val="20"/>
        </w:rPr>
        <w:t>anlayışı</w:t>
      </w:r>
      <w:r w:rsidRPr="00B44923">
        <w:rPr>
          <w:rFonts w:ascii="Times New Roman" w:eastAsia="Times New Roman" w:hAnsi="Times New Roman"/>
          <w:spacing w:val="-5"/>
          <w:sz w:val="20"/>
          <w:szCs w:val="20"/>
        </w:rPr>
        <w:t xml:space="preserve"> </w:t>
      </w:r>
      <w:r w:rsidRPr="00B44923">
        <w:rPr>
          <w:rFonts w:ascii="Times New Roman" w:eastAsia="Times New Roman" w:hAnsi="Times New Roman"/>
          <w:sz w:val="20"/>
          <w:szCs w:val="20"/>
        </w:rPr>
        <w:t>benimsenmiştir.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80AA55E" w14:textId="77777777" w:rsidTr="00002C7F">
        <w:tc>
          <w:tcPr>
            <w:tcW w:w="4365" w:type="dxa"/>
            <w:shd w:val="clear" w:color="auto" w:fill="auto"/>
          </w:tcPr>
          <w:p w14:paraId="336273F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630814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A911067" w14:textId="77777777" w:rsidTr="00002C7F">
        <w:tc>
          <w:tcPr>
            <w:tcW w:w="4365" w:type="dxa"/>
            <w:shd w:val="clear" w:color="auto" w:fill="auto"/>
          </w:tcPr>
          <w:p w14:paraId="5B76F00C"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882" w:type="dxa"/>
            <w:shd w:val="clear" w:color="auto" w:fill="auto"/>
          </w:tcPr>
          <w:p w14:paraId="7CE3E19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4D52208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62B741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002C7F">
              <w:rPr>
                <w:rFonts w:ascii="Times New Roman" w:eastAsia="Times New Roman" w:hAnsi="Times New Roman"/>
                <w:b/>
                <w:i/>
                <w:sz w:val="24"/>
                <w:szCs w:val="24"/>
                <w:highlight w:val="yellow"/>
              </w:rPr>
              <w:t>3</w:t>
            </w:r>
          </w:p>
        </w:tc>
        <w:tc>
          <w:tcPr>
            <w:tcW w:w="883" w:type="dxa"/>
            <w:shd w:val="clear" w:color="auto" w:fill="auto"/>
          </w:tcPr>
          <w:p w14:paraId="2B56A12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357167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A2F2972" w14:textId="49412A82" w:rsidR="00ED5AD5" w:rsidRDefault="00002C7F" w:rsidP="00B44923">
      <w:pPr>
        <w:widowControl w:val="0"/>
        <w:spacing w:after="0" w:line="360" w:lineRule="auto"/>
        <w:ind w:left="510" w:right="62" w:hanging="3"/>
        <w:jc w:val="both"/>
        <w:rPr>
          <w:rFonts w:ascii="Times New Roman" w:eastAsia="Times New Roman" w:hAnsi="Times New Roman"/>
          <w:b/>
          <w:i/>
          <w:sz w:val="24"/>
          <w:szCs w:val="24"/>
        </w:rPr>
      </w:pPr>
      <w:r w:rsidRPr="00507607">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507607">
        <w:rPr>
          <w:rFonts w:ascii="Times New Roman" w:eastAsia="Times New Roman" w:hAnsi="Times New Roman"/>
          <w:b/>
          <w:bCs/>
          <w:noProof/>
          <w:color w:val="000000"/>
          <w:sz w:val="20"/>
          <w:szCs w:val="20"/>
        </w:rPr>
        <w:t xml:space="preserve">: </w:t>
      </w:r>
      <w:r w:rsidR="00B44923" w:rsidRPr="00B44923">
        <w:rPr>
          <w:rFonts w:ascii="Times New Roman" w:eastAsia="Times New Roman" w:hAnsi="Times New Roman"/>
          <w:noProof/>
          <w:color w:val="000000"/>
          <w:sz w:val="20"/>
          <w:szCs w:val="20"/>
        </w:rPr>
        <w:t>Amaç, misyon ve hedefler doğrultusunda gerçekleştirilen değişim yönetimi uygulamaları izlenmekte ve önlemler alınmaktadır.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069DF5B1" w14:textId="77777777" w:rsidTr="00134CEE">
        <w:tc>
          <w:tcPr>
            <w:tcW w:w="4375" w:type="dxa"/>
            <w:shd w:val="clear" w:color="auto" w:fill="auto"/>
          </w:tcPr>
          <w:p w14:paraId="4E55AEB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3" w:type="dxa"/>
            <w:gridSpan w:val="5"/>
            <w:shd w:val="clear" w:color="auto" w:fill="auto"/>
          </w:tcPr>
          <w:p w14:paraId="481C741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3FE8C0" w14:textId="77777777" w:rsidTr="00134CEE">
        <w:tc>
          <w:tcPr>
            <w:tcW w:w="4375" w:type="dxa"/>
            <w:shd w:val="clear" w:color="auto" w:fill="auto"/>
          </w:tcPr>
          <w:p w14:paraId="74E73348"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64A742E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7FBE41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tcPr>
          <w:p w14:paraId="40D844F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tcPr>
          <w:p w14:paraId="43DA0F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134CEE">
              <w:rPr>
                <w:rFonts w:ascii="Times New Roman" w:eastAsia="Times New Roman" w:hAnsi="Times New Roman"/>
                <w:b/>
                <w:i/>
                <w:sz w:val="24"/>
                <w:szCs w:val="24"/>
                <w:highlight w:val="yellow"/>
              </w:rPr>
              <w:t>4</w:t>
            </w:r>
          </w:p>
        </w:tc>
        <w:tc>
          <w:tcPr>
            <w:tcW w:w="881" w:type="dxa"/>
            <w:shd w:val="clear" w:color="auto" w:fill="auto"/>
          </w:tcPr>
          <w:p w14:paraId="1F85C0B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A3488B" w14:textId="426C8329" w:rsidR="00134CEE" w:rsidRPr="00134CEE" w:rsidRDefault="00134CEE" w:rsidP="00134CEE">
      <w:pPr>
        <w:widowControl w:val="0"/>
        <w:spacing w:after="0" w:line="360" w:lineRule="auto"/>
        <w:ind w:left="426" w:right="62"/>
        <w:jc w:val="both"/>
        <w:rPr>
          <w:rFonts w:ascii="Times New Roman" w:eastAsia="Times New Roman" w:hAnsi="Times New Roman"/>
          <w:bCs/>
          <w:iCs/>
          <w:sz w:val="20"/>
          <w:szCs w:val="20"/>
        </w:rPr>
      </w:pPr>
      <w:r>
        <w:rPr>
          <w:rFonts w:ascii="Times New Roman" w:eastAsia="Times New Roman" w:hAnsi="Times New Roman"/>
          <w:b/>
          <w:bCs/>
          <w:noProof/>
          <w:color w:val="000000"/>
          <w:sz w:val="20"/>
          <w:szCs w:val="20"/>
        </w:rPr>
        <w:t xml:space="preserve"> </w:t>
      </w:r>
      <w:r w:rsidRPr="00507607">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4</w:t>
      </w:r>
      <w:r w:rsidRPr="00507607">
        <w:rPr>
          <w:rFonts w:ascii="Times New Roman" w:eastAsia="Times New Roman" w:hAnsi="Times New Roman"/>
          <w:b/>
          <w:bCs/>
          <w:noProof/>
          <w:color w:val="000000"/>
          <w:sz w:val="20"/>
          <w:szCs w:val="20"/>
        </w:rPr>
        <w:t>:</w:t>
      </w:r>
      <w:r w:rsidRPr="00134CEE">
        <w:rPr>
          <w:rFonts w:ascii="Times New Roman" w:eastAsia="Times New Roman" w:hAnsi="Times New Roman"/>
          <w:bCs/>
          <w:iCs/>
        </w:rPr>
        <w:t xml:space="preserve"> </w:t>
      </w:r>
      <w:r w:rsidRPr="00134CEE">
        <w:rPr>
          <w:rFonts w:ascii="Times New Roman" w:eastAsia="Times New Roman" w:hAnsi="Times New Roman"/>
          <w:bCs/>
          <w:iCs/>
          <w:sz w:val="20"/>
          <w:szCs w:val="20"/>
        </w:rPr>
        <w:t>Üniversitemizde Kalite Yönetim Bilgi Sistemi (KALBİS), Akademik Performans Değerlendirme ve İzleme Platformu (AKAPEDİA) ve İstek Yönetim Sistemi (İYS) kullanılmaktadır.</w:t>
      </w:r>
    </w:p>
    <w:p w14:paraId="53D102A3" w14:textId="4522EE2A"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A41D2BF" w14:textId="77777777" w:rsidTr="00134CEE">
        <w:tc>
          <w:tcPr>
            <w:tcW w:w="4365" w:type="dxa"/>
            <w:shd w:val="clear" w:color="auto" w:fill="auto"/>
          </w:tcPr>
          <w:p w14:paraId="145F0ED8"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1DC92F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371FFD" w14:textId="77777777" w:rsidTr="00134CEE">
        <w:tc>
          <w:tcPr>
            <w:tcW w:w="4365" w:type="dxa"/>
            <w:shd w:val="clear" w:color="auto" w:fill="auto"/>
          </w:tcPr>
          <w:p w14:paraId="5A3ED62E"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882" w:type="dxa"/>
            <w:shd w:val="clear" w:color="auto" w:fill="auto"/>
          </w:tcPr>
          <w:p w14:paraId="37AB99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tcPr>
          <w:p w14:paraId="4D1A4DC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05259F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0F52DF69" w14:textId="77777777" w:rsidR="00ED5AD5" w:rsidRPr="00134CEE" w:rsidRDefault="00ED5AD5" w:rsidP="00EB1A4D">
            <w:pPr>
              <w:widowControl w:val="0"/>
              <w:spacing w:after="0" w:line="360" w:lineRule="auto"/>
              <w:ind w:right="62"/>
              <w:jc w:val="center"/>
              <w:rPr>
                <w:rFonts w:ascii="Times New Roman" w:eastAsia="Times New Roman" w:hAnsi="Times New Roman"/>
                <w:b/>
                <w:i/>
                <w:sz w:val="24"/>
                <w:szCs w:val="24"/>
                <w:highlight w:val="yellow"/>
              </w:rPr>
            </w:pPr>
            <w:r w:rsidRPr="00134CEE">
              <w:rPr>
                <w:rFonts w:ascii="Times New Roman" w:eastAsia="Times New Roman" w:hAnsi="Times New Roman"/>
                <w:b/>
                <w:i/>
                <w:sz w:val="24"/>
                <w:szCs w:val="24"/>
                <w:highlight w:val="yellow"/>
              </w:rPr>
              <w:t>4</w:t>
            </w:r>
          </w:p>
        </w:tc>
        <w:tc>
          <w:tcPr>
            <w:tcW w:w="883" w:type="dxa"/>
            <w:shd w:val="clear" w:color="auto" w:fill="auto"/>
          </w:tcPr>
          <w:p w14:paraId="7951690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515E60B" w14:textId="77777777" w:rsidR="00134CEE" w:rsidRDefault="00134CEE" w:rsidP="00134CEE">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4: </w:t>
      </w:r>
      <w:r w:rsidRPr="00507607">
        <w:rPr>
          <w:rFonts w:ascii="Times New Roman" w:eastAsia="Times New Roman" w:hAnsi="Times New Roman"/>
          <w:noProof/>
          <w:color w:val="000000"/>
          <w:sz w:val="20"/>
          <w:szCs w:val="20"/>
        </w:rPr>
        <w:t xml:space="preserve">Kamuoyu bilgilendirme ve hesap verilebilirlik Fakültemiz tarafından benimsenmiş </w:t>
      </w:r>
      <w:r w:rsidRPr="00507607">
        <w:rPr>
          <w:rFonts w:ascii="Times New Roman" w:eastAsia="Times New Roman" w:hAnsi="Times New Roman"/>
          <w:noProof/>
          <w:color w:val="000000"/>
          <w:sz w:val="20"/>
          <w:szCs w:val="20"/>
        </w:rPr>
        <w:lastRenderedPageBreak/>
        <w:t>olup bu doğrultuda Fakültemiz Faaliyet Raporları internet sitemizde şeffaflık ilkesi gereğince paydaşlarımızla paylaşılmaktadır. Ayrıca  Kurumumuz web sayfası doğru, güncel ve ilgili bilgiyi vermektedir.</w:t>
      </w:r>
    </w:p>
    <w:p w14:paraId="6A61E0C8" w14:textId="29151C9F" w:rsidR="00134CEE" w:rsidRDefault="00134CEE" w:rsidP="00134CEE">
      <w:pPr>
        <w:widowControl w:val="0"/>
        <w:spacing w:after="0" w:line="360" w:lineRule="auto"/>
        <w:ind w:left="426" w:right="62" w:hanging="426"/>
        <w:jc w:val="both"/>
      </w:pPr>
      <w:r>
        <w:t xml:space="preserve">           </w:t>
      </w:r>
      <w:hyperlink r:id="rId8" w:history="1">
        <w:r w:rsidR="004F450D" w:rsidRPr="00C80462">
          <w:rPr>
            <w:rStyle w:val="Kpr"/>
          </w:rPr>
          <w:t>https://www.ohu.edu.tr/iibf/bilisimsistemleri</w:t>
        </w:r>
      </w:hyperlink>
    </w:p>
    <w:p w14:paraId="7B90D992" w14:textId="77777777" w:rsidR="00134CEE" w:rsidRPr="00134CEE" w:rsidRDefault="00134CEE" w:rsidP="00134CEE">
      <w:pPr>
        <w:widowControl w:val="0"/>
        <w:spacing w:after="0" w:line="360" w:lineRule="auto"/>
        <w:ind w:left="426" w:right="62" w:hanging="426"/>
        <w:jc w:val="both"/>
      </w:pPr>
    </w:p>
    <w:p w14:paraId="1D3B567F" w14:textId="77777777" w:rsidR="00ED5AD5" w:rsidRDefault="00ED5AD5" w:rsidP="00ED5AD5">
      <w:pPr>
        <w:widowControl w:val="0"/>
        <w:spacing w:after="0" w:line="360" w:lineRule="auto"/>
        <w:ind w:left="510" w:right="62" w:hanging="391"/>
        <w:jc w:val="both"/>
        <w:rPr>
          <w:rFonts w:ascii="Times New Roman" w:hAnsi="Times New Roman"/>
        </w:rPr>
      </w:pPr>
    </w:p>
    <w:p w14:paraId="0872000F"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18790296" w14:textId="77777777" w:rsidR="00ED5AD5" w:rsidRDefault="00ED5AD5" w:rsidP="00134CEE">
      <w:pPr>
        <w:spacing w:before="80" w:after="80" w:line="288" w:lineRule="auto"/>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4F79CC2" w14:textId="77777777" w:rsidTr="004F450D">
        <w:tc>
          <w:tcPr>
            <w:tcW w:w="4349" w:type="dxa"/>
            <w:shd w:val="clear" w:color="auto" w:fill="auto"/>
          </w:tcPr>
          <w:p w14:paraId="756504BD"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9" w:type="dxa"/>
            <w:gridSpan w:val="5"/>
            <w:shd w:val="clear" w:color="auto" w:fill="auto"/>
          </w:tcPr>
          <w:p w14:paraId="3F73B51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39EA8FD" w14:textId="77777777" w:rsidTr="004F450D">
        <w:tc>
          <w:tcPr>
            <w:tcW w:w="4349" w:type="dxa"/>
            <w:shd w:val="clear" w:color="auto" w:fill="auto"/>
          </w:tcPr>
          <w:p w14:paraId="3A45910C"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886" w:type="dxa"/>
            <w:shd w:val="clear" w:color="auto" w:fill="auto"/>
          </w:tcPr>
          <w:p w14:paraId="19DA59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68ADD21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6F6119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7B1CA50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14F41A3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8C5D92A" w14:textId="070E72B7" w:rsidR="00ED5AD5" w:rsidRPr="004F450D"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43611E6D" w14:textId="77777777" w:rsidTr="004F450D">
        <w:tc>
          <w:tcPr>
            <w:tcW w:w="4345" w:type="dxa"/>
            <w:shd w:val="clear" w:color="auto" w:fill="auto"/>
          </w:tcPr>
          <w:p w14:paraId="4928DF6C"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3" w:type="dxa"/>
            <w:gridSpan w:val="5"/>
            <w:shd w:val="clear" w:color="auto" w:fill="auto"/>
          </w:tcPr>
          <w:p w14:paraId="401010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6AC901" w14:textId="77777777" w:rsidTr="004F450D">
        <w:tc>
          <w:tcPr>
            <w:tcW w:w="4345" w:type="dxa"/>
            <w:shd w:val="clear" w:color="auto" w:fill="auto"/>
          </w:tcPr>
          <w:p w14:paraId="7FD91DE6"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14:paraId="475D0C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7" w:type="dxa"/>
            <w:shd w:val="clear" w:color="auto" w:fill="auto"/>
          </w:tcPr>
          <w:p w14:paraId="57BECF8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6" w:type="dxa"/>
            <w:shd w:val="clear" w:color="auto" w:fill="auto"/>
          </w:tcPr>
          <w:p w14:paraId="4E2C6D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14:paraId="197459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7" w:type="dxa"/>
            <w:shd w:val="clear" w:color="auto" w:fill="auto"/>
          </w:tcPr>
          <w:p w14:paraId="1FA2E65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AE16CF" w14:textId="3102A09D" w:rsidR="00ED5AD5" w:rsidRPr="004F450D"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0C8D9545" w14:textId="77777777" w:rsidTr="004F450D">
        <w:tc>
          <w:tcPr>
            <w:tcW w:w="4355" w:type="dxa"/>
            <w:shd w:val="clear" w:color="auto" w:fill="auto"/>
          </w:tcPr>
          <w:p w14:paraId="3FADEF2C"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0EBD3B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7F67D9B" w14:textId="77777777" w:rsidTr="004F450D">
        <w:tc>
          <w:tcPr>
            <w:tcW w:w="4355" w:type="dxa"/>
            <w:shd w:val="clear" w:color="auto" w:fill="auto"/>
          </w:tcPr>
          <w:p w14:paraId="2EA42DDE"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6B80612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371C2E9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14:paraId="4F3563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4E3ADC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32E72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CD88632"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763D956C" w14:textId="77777777" w:rsidR="00ED5AD5" w:rsidRPr="00B02E0D" w:rsidRDefault="00ED5AD5" w:rsidP="00ED5AD5">
      <w:pPr>
        <w:spacing w:before="80" w:after="80" w:line="288" w:lineRule="auto"/>
        <w:ind w:left="426"/>
        <w:jc w:val="both"/>
        <w:rPr>
          <w:rFonts w:ascii="Times New Roman" w:hAnsi="Times New Roman"/>
        </w:rPr>
      </w:pPr>
    </w:p>
    <w:p w14:paraId="339A4293"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3FF8E26F"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A139EC8"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4DC601BD" w14:textId="77777777" w:rsidTr="004F450D">
        <w:tc>
          <w:tcPr>
            <w:tcW w:w="4349" w:type="dxa"/>
            <w:shd w:val="clear" w:color="auto" w:fill="auto"/>
          </w:tcPr>
          <w:p w14:paraId="6DBF2C0E"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5A0A074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3C7B83" w14:textId="77777777" w:rsidTr="004F450D">
        <w:tc>
          <w:tcPr>
            <w:tcW w:w="4349" w:type="dxa"/>
            <w:shd w:val="clear" w:color="auto" w:fill="auto"/>
          </w:tcPr>
          <w:p w14:paraId="403D8C6C"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6" w:type="dxa"/>
            <w:shd w:val="clear" w:color="auto" w:fill="auto"/>
          </w:tcPr>
          <w:p w14:paraId="1440E0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17E324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7FED23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F450D">
              <w:rPr>
                <w:rFonts w:ascii="Times New Roman" w:eastAsia="Times New Roman" w:hAnsi="Times New Roman"/>
                <w:b/>
                <w:i/>
                <w:sz w:val="24"/>
                <w:szCs w:val="24"/>
                <w:highlight w:val="yellow"/>
              </w:rPr>
              <w:t>3</w:t>
            </w:r>
          </w:p>
        </w:tc>
        <w:tc>
          <w:tcPr>
            <w:tcW w:w="886" w:type="dxa"/>
            <w:shd w:val="clear" w:color="auto" w:fill="auto"/>
          </w:tcPr>
          <w:p w14:paraId="4764DF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03E2720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FE35E44" w14:textId="77777777" w:rsidR="004F450D" w:rsidRPr="002C267B"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 yürütülmektedir</w:t>
      </w:r>
    </w:p>
    <w:p w14:paraId="285B20B1"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4D044563" w14:textId="77777777" w:rsidTr="004F450D">
        <w:tc>
          <w:tcPr>
            <w:tcW w:w="4350" w:type="dxa"/>
            <w:shd w:val="clear" w:color="auto" w:fill="auto"/>
          </w:tcPr>
          <w:p w14:paraId="4B01E072"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8" w:type="dxa"/>
            <w:gridSpan w:val="5"/>
            <w:shd w:val="clear" w:color="auto" w:fill="auto"/>
          </w:tcPr>
          <w:p w14:paraId="220C4D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E8B003B" w14:textId="77777777" w:rsidTr="004F450D">
        <w:tc>
          <w:tcPr>
            <w:tcW w:w="4350" w:type="dxa"/>
            <w:shd w:val="clear" w:color="auto" w:fill="auto"/>
          </w:tcPr>
          <w:p w14:paraId="37E6D689"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5" w:type="dxa"/>
            <w:shd w:val="clear" w:color="auto" w:fill="auto"/>
          </w:tcPr>
          <w:p w14:paraId="2DC10B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61CFF8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028CCA6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4F450D">
              <w:rPr>
                <w:rFonts w:ascii="Times New Roman" w:eastAsia="Times New Roman" w:hAnsi="Times New Roman"/>
                <w:b/>
                <w:i/>
                <w:sz w:val="24"/>
                <w:szCs w:val="24"/>
                <w:highlight w:val="yellow"/>
              </w:rPr>
              <w:t>3</w:t>
            </w:r>
          </w:p>
        </w:tc>
        <w:tc>
          <w:tcPr>
            <w:tcW w:w="886" w:type="dxa"/>
            <w:shd w:val="clear" w:color="auto" w:fill="auto"/>
          </w:tcPr>
          <w:p w14:paraId="6E3E91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716F869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79B101" w14:textId="77777777" w:rsidR="004F450D" w:rsidRPr="00B57FA3"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3: </w:t>
      </w:r>
      <w:r w:rsidRPr="00B57FA3">
        <w:rPr>
          <w:rFonts w:ascii="Times New Roman" w:eastAsia="Times New Roman" w:hAnsi="Times New Roman"/>
          <w:noProof/>
          <w:color w:val="000000"/>
          <w:sz w:val="20"/>
          <w:szCs w:val="20"/>
        </w:rPr>
        <w:t xml:space="preserve">Fakültemizde, insan kaynakları yönetimi kapsamında Akademik Personel istihdamına </w:t>
      </w:r>
      <w:r w:rsidRPr="00B57FA3">
        <w:rPr>
          <w:rFonts w:ascii="Times New Roman" w:eastAsia="Times New Roman" w:hAnsi="Times New Roman"/>
          <w:noProof/>
          <w:color w:val="000000"/>
          <w:sz w:val="20"/>
          <w:szCs w:val="20"/>
        </w:rPr>
        <w:lastRenderedPageBreak/>
        <w:t>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bir şekilde yayınlanmaktadır.</w:t>
      </w:r>
    </w:p>
    <w:p w14:paraId="1594CC40"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74962AF6" w14:textId="77777777" w:rsidTr="004F450D">
        <w:tc>
          <w:tcPr>
            <w:tcW w:w="4349" w:type="dxa"/>
            <w:shd w:val="clear" w:color="auto" w:fill="auto"/>
          </w:tcPr>
          <w:p w14:paraId="086C6D8C"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42B353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F10DFAB" w14:textId="77777777" w:rsidTr="004F450D">
        <w:tc>
          <w:tcPr>
            <w:tcW w:w="4349" w:type="dxa"/>
            <w:shd w:val="clear" w:color="auto" w:fill="auto"/>
          </w:tcPr>
          <w:p w14:paraId="3FFB0FAF"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6" w:type="dxa"/>
            <w:shd w:val="clear" w:color="auto" w:fill="auto"/>
          </w:tcPr>
          <w:p w14:paraId="1D9591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0DF04F8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5728E85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5766C8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1D34D6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A0F9DE"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15615ED8"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43A0EAE5" w14:textId="77777777" w:rsidTr="004F450D">
        <w:tc>
          <w:tcPr>
            <w:tcW w:w="4349" w:type="dxa"/>
            <w:shd w:val="clear" w:color="auto" w:fill="auto"/>
          </w:tcPr>
          <w:p w14:paraId="53802F07"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29" w:type="dxa"/>
            <w:gridSpan w:val="5"/>
            <w:shd w:val="clear" w:color="auto" w:fill="auto"/>
          </w:tcPr>
          <w:p w14:paraId="7798FF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3D8E5FE" w14:textId="77777777" w:rsidTr="004F450D">
        <w:tc>
          <w:tcPr>
            <w:tcW w:w="4349" w:type="dxa"/>
            <w:shd w:val="clear" w:color="auto" w:fill="auto"/>
          </w:tcPr>
          <w:p w14:paraId="0F601B5A"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6" w:type="dxa"/>
            <w:shd w:val="clear" w:color="auto" w:fill="auto"/>
          </w:tcPr>
          <w:p w14:paraId="7505FC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01A531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397A6CF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6" w:type="dxa"/>
            <w:shd w:val="clear" w:color="auto" w:fill="auto"/>
          </w:tcPr>
          <w:p w14:paraId="28B39F0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0DE84C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F9E7AFD"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52FC0DD9" w14:textId="77777777" w:rsidR="00ED5AD5" w:rsidRDefault="00ED5AD5" w:rsidP="00ED5AD5">
      <w:pPr>
        <w:spacing w:before="80" w:after="80" w:line="288" w:lineRule="auto"/>
        <w:ind w:firstLine="284"/>
        <w:rPr>
          <w:rFonts w:ascii="Times New Roman" w:hAnsi="Times New Roman"/>
          <w:b/>
          <w:i/>
          <w:sz w:val="24"/>
          <w:szCs w:val="24"/>
        </w:rPr>
      </w:pPr>
    </w:p>
    <w:p w14:paraId="2AAC3019"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2ABE08FF"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10AC186A" w14:textId="77777777" w:rsidTr="004F450D">
        <w:tc>
          <w:tcPr>
            <w:tcW w:w="4340" w:type="dxa"/>
            <w:shd w:val="clear" w:color="auto" w:fill="auto"/>
          </w:tcPr>
          <w:p w14:paraId="576BF747"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63FA340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A6BA87" w14:textId="77777777" w:rsidTr="004F450D">
        <w:tc>
          <w:tcPr>
            <w:tcW w:w="4340" w:type="dxa"/>
            <w:shd w:val="clear" w:color="auto" w:fill="auto"/>
          </w:tcPr>
          <w:p w14:paraId="353162BD"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42A5CA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6D5267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0D5769B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69443C">
              <w:rPr>
                <w:rFonts w:ascii="Times New Roman" w:eastAsia="Times New Roman" w:hAnsi="Times New Roman"/>
                <w:b/>
                <w:i/>
                <w:sz w:val="24"/>
                <w:szCs w:val="24"/>
              </w:rPr>
              <w:t>3</w:t>
            </w:r>
          </w:p>
        </w:tc>
        <w:tc>
          <w:tcPr>
            <w:tcW w:w="888" w:type="dxa"/>
            <w:shd w:val="clear" w:color="auto" w:fill="auto"/>
          </w:tcPr>
          <w:p w14:paraId="6D7E66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25377C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34EC2FC" w14:textId="5B8B60C5" w:rsidR="00ED5AD5" w:rsidRPr="004F450D"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5226A121" w14:textId="77777777" w:rsidTr="004F450D">
        <w:tc>
          <w:tcPr>
            <w:tcW w:w="4353" w:type="dxa"/>
            <w:shd w:val="clear" w:color="auto" w:fill="auto"/>
          </w:tcPr>
          <w:p w14:paraId="7F9AED46"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5" w:type="dxa"/>
            <w:gridSpan w:val="5"/>
            <w:shd w:val="clear" w:color="auto" w:fill="auto"/>
          </w:tcPr>
          <w:p w14:paraId="758D8B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AA9512D" w14:textId="77777777" w:rsidTr="004F450D">
        <w:tc>
          <w:tcPr>
            <w:tcW w:w="4353" w:type="dxa"/>
            <w:shd w:val="clear" w:color="auto" w:fill="auto"/>
          </w:tcPr>
          <w:p w14:paraId="2F004ED3"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5" w:type="dxa"/>
            <w:shd w:val="clear" w:color="auto" w:fill="auto"/>
          </w:tcPr>
          <w:p w14:paraId="39DCB4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62FF56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78A957F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13A05D4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0A27F9D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D0C52BE"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0C9C068A"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3B347930" w14:textId="77777777" w:rsidTr="004F450D">
        <w:tc>
          <w:tcPr>
            <w:tcW w:w="4340" w:type="dxa"/>
            <w:shd w:val="clear" w:color="auto" w:fill="auto"/>
          </w:tcPr>
          <w:p w14:paraId="58B391C8"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7BEC81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1200E26" w14:textId="77777777" w:rsidTr="004F450D">
        <w:tc>
          <w:tcPr>
            <w:tcW w:w="4340" w:type="dxa"/>
            <w:shd w:val="clear" w:color="auto" w:fill="auto"/>
          </w:tcPr>
          <w:p w14:paraId="6719FFAD"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7" w:type="dxa"/>
            <w:shd w:val="clear" w:color="auto" w:fill="auto"/>
          </w:tcPr>
          <w:p w14:paraId="6B7276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2138E0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1E09337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8" w:type="dxa"/>
            <w:shd w:val="clear" w:color="auto" w:fill="auto"/>
          </w:tcPr>
          <w:p w14:paraId="62073E9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8" w:type="dxa"/>
            <w:shd w:val="clear" w:color="auto" w:fill="auto"/>
          </w:tcPr>
          <w:p w14:paraId="4AF8AD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CCEE917"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05CB8C38" w14:textId="77777777" w:rsidR="00ED5AD5" w:rsidRDefault="00ED5AD5" w:rsidP="00ED5AD5">
      <w:pPr>
        <w:tabs>
          <w:tab w:val="left" w:pos="2839"/>
        </w:tabs>
        <w:spacing w:before="80" w:after="80" w:line="288" w:lineRule="auto"/>
        <w:rPr>
          <w:rFonts w:ascii="Times New Roman" w:hAnsi="Times New Roman"/>
          <w:b/>
          <w:sz w:val="24"/>
          <w:szCs w:val="24"/>
        </w:rPr>
      </w:pPr>
    </w:p>
    <w:p w14:paraId="6CCEED99"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597DFBB2"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12DB1E8"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8E28563" w14:textId="77777777" w:rsidTr="004F450D">
        <w:tc>
          <w:tcPr>
            <w:tcW w:w="4395" w:type="dxa"/>
            <w:shd w:val="clear" w:color="auto" w:fill="auto"/>
            <w:vAlign w:val="center"/>
          </w:tcPr>
          <w:p w14:paraId="610EEDBE"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A.5. Uluslararasılaşma </w:t>
            </w:r>
          </w:p>
        </w:tc>
        <w:tc>
          <w:tcPr>
            <w:tcW w:w="4383" w:type="dxa"/>
            <w:gridSpan w:val="5"/>
            <w:shd w:val="clear" w:color="auto" w:fill="auto"/>
            <w:vAlign w:val="center"/>
          </w:tcPr>
          <w:p w14:paraId="14C3716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A65F53" w14:textId="77777777" w:rsidTr="004F450D">
        <w:tc>
          <w:tcPr>
            <w:tcW w:w="4395" w:type="dxa"/>
            <w:shd w:val="clear" w:color="auto" w:fill="auto"/>
            <w:vAlign w:val="center"/>
          </w:tcPr>
          <w:p w14:paraId="1524024E"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876" w:type="dxa"/>
            <w:shd w:val="clear" w:color="auto" w:fill="auto"/>
            <w:vAlign w:val="center"/>
          </w:tcPr>
          <w:p w14:paraId="21792D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vAlign w:val="center"/>
          </w:tcPr>
          <w:p w14:paraId="40E38A6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vAlign w:val="center"/>
          </w:tcPr>
          <w:p w14:paraId="744273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vAlign w:val="center"/>
          </w:tcPr>
          <w:p w14:paraId="345CAC42" w14:textId="77777777" w:rsidR="00ED5AD5" w:rsidRPr="0058249A" w:rsidRDefault="00ED5AD5" w:rsidP="00EB1A4D">
            <w:pPr>
              <w:widowControl w:val="0"/>
              <w:spacing w:after="0" w:line="360" w:lineRule="auto"/>
              <w:ind w:right="62"/>
              <w:jc w:val="center"/>
              <w:rPr>
                <w:rFonts w:ascii="Times New Roman" w:eastAsia="Times New Roman" w:hAnsi="Times New Roman"/>
                <w:b/>
                <w:i/>
                <w:sz w:val="24"/>
                <w:szCs w:val="24"/>
                <w:highlight w:val="yellow"/>
              </w:rPr>
            </w:pPr>
            <w:r w:rsidRPr="0058249A">
              <w:rPr>
                <w:rFonts w:ascii="Times New Roman" w:eastAsia="Times New Roman" w:hAnsi="Times New Roman"/>
                <w:b/>
                <w:i/>
                <w:sz w:val="24"/>
                <w:szCs w:val="24"/>
                <w:highlight w:val="yellow"/>
              </w:rPr>
              <w:t>4</w:t>
            </w:r>
          </w:p>
        </w:tc>
        <w:tc>
          <w:tcPr>
            <w:tcW w:w="877" w:type="dxa"/>
            <w:shd w:val="clear" w:color="auto" w:fill="auto"/>
            <w:vAlign w:val="center"/>
          </w:tcPr>
          <w:p w14:paraId="624935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FEEBCC4" w14:textId="7351E8ED" w:rsidR="0058249A" w:rsidRPr="0058249A" w:rsidRDefault="004F450D" w:rsidP="0058249A">
      <w:pPr>
        <w:widowControl w:val="0"/>
        <w:spacing w:after="0" w:line="360" w:lineRule="auto"/>
        <w:ind w:left="510" w:right="62" w:hanging="3"/>
        <w:jc w:val="both"/>
        <w:rPr>
          <w:rFonts w:ascii="Times New Roman" w:hAnsi="Times New Roman"/>
          <w:sz w:val="20"/>
          <w:szCs w:val="20"/>
        </w:rPr>
      </w:pPr>
      <w:r w:rsidRPr="00C54545">
        <w:rPr>
          <w:rFonts w:ascii="Times New Roman" w:eastAsia="Times New Roman" w:hAnsi="Times New Roman"/>
          <w:b/>
          <w:bCs/>
          <w:noProof/>
          <w:color w:val="000000"/>
          <w:sz w:val="20"/>
          <w:szCs w:val="20"/>
        </w:rPr>
        <w:t>Olgunluk Düzeyi</w:t>
      </w:r>
      <w:r w:rsidR="0058249A">
        <w:rPr>
          <w:rFonts w:ascii="Times New Roman" w:eastAsia="Times New Roman" w:hAnsi="Times New Roman"/>
          <w:b/>
          <w:bCs/>
          <w:noProof/>
          <w:color w:val="000000"/>
          <w:sz w:val="20"/>
          <w:szCs w:val="20"/>
        </w:rPr>
        <w:t xml:space="preserve"> 4:</w:t>
      </w:r>
      <w:r w:rsidRPr="00C54545">
        <w:rPr>
          <w:rFonts w:ascii="Times New Roman" w:eastAsia="Times New Roman" w:hAnsi="Times New Roman"/>
          <w:b/>
          <w:bCs/>
          <w:noProof/>
          <w:color w:val="000000"/>
          <w:sz w:val="20"/>
          <w:szCs w:val="20"/>
        </w:rPr>
        <w:t xml:space="preserve"> </w:t>
      </w:r>
      <w:r w:rsidR="0058249A">
        <w:rPr>
          <w:rFonts w:ascii="Times New Roman" w:hAnsi="Times New Roman"/>
          <w:sz w:val="20"/>
          <w:szCs w:val="20"/>
        </w:rPr>
        <w:t>Bilişim sistemleri ve teknoloji bölümü</w:t>
      </w:r>
      <w:r w:rsidR="0058249A" w:rsidRPr="0058249A">
        <w:rPr>
          <w:rFonts w:ascii="Times New Roman" w:hAnsi="Times New Roman"/>
          <w:sz w:val="20"/>
          <w:szCs w:val="20"/>
        </w:rPr>
        <w:t xml:space="preserve"> uluslararasılaşma faaliyetleri Üniversitemiz Uluslararası İlişkiler Koordinatörlüğü çatısı altında Erasmus Koordinatörlüğü, Mevlana Koordinatörlüğü ve Orhun Koordinatörlüğü aracılığıyla yürütülmektedir. Görev-iş tanımı, iş akış süreçleri ve süreç takvimi, Erasmus, Mevlana ve Orhun değişim programlarına ilişkin süreç bilgileri Uluslararası İlişkiler Koordinatörlüğü ağ sayfasında yayınlanmaktadır.</w:t>
      </w:r>
    </w:p>
    <w:p w14:paraId="04CCAE7B" w14:textId="77777777" w:rsidR="0058249A" w:rsidRPr="0058249A" w:rsidRDefault="0058249A" w:rsidP="0058249A">
      <w:pPr>
        <w:widowControl w:val="0"/>
        <w:spacing w:after="0" w:line="360" w:lineRule="auto"/>
        <w:ind w:left="510" w:right="62" w:hanging="3"/>
        <w:jc w:val="both"/>
        <w:rPr>
          <w:rFonts w:ascii="Times New Roman" w:hAnsi="Times New Roman"/>
          <w:sz w:val="20"/>
          <w:szCs w:val="20"/>
        </w:rPr>
      </w:pPr>
      <w:hyperlink r:id="rId9">
        <w:r w:rsidRPr="0058249A">
          <w:rPr>
            <w:rStyle w:val="Kpr"/>
            <w:rFonts w:ascii="Times New Roman" w:hAnsi="Times New Roman"/>
            <w:sz w:val="20"/>
            <w:szCs w:val="20"/>
          </w:rPr>
          <w:t>https://www.ohu.edu.tr/uluslararasi/sayfa/genel-bilgiler</w:t>
        </w:r>
      </w:hyperlink>
    </w:p>
    <w:p w14:paraId="374E1B8E" w14:textId="3B4E6127" w:rsidR="0058249A" w:rsidRPr="0058249A" w:rsidRDefault="0058249A" w:rsidP="0058249A">
      <w:pPr>
        <w:widowControl w:val="0"/>
        <w:spacing w:after="0" w:line="360" w:lineRule="auto"/>
        <w:ind w:left="510" w:right="62" w:hanging="3"/>
        <w:jc w:val="both"/>
        <w:rPr>
          <w:rFonts w:ascii="Times New Roman" w:eastAsia="Times New Roman" w:hAnsi="Times New Roman"/>
          <w:noProof/>
          <w:color w:val="000000"/>
          <w:sz w:val="20"/>
          <w:szCs w:val="20"/>
        </w:rPr>
      </w:pPr>
      <w:hyperlink r:id="rId10">
        <w:r w:rsidRPr="0058249A">
          <w:rPr>
            <w:rStyle w:val="Kpr"/>
            <w:rFonts w:ascii="Times New Roman" w:hAnsi="Times New Roman"/>
            <w:sz w:val="20"/>
            <w:szCs w:val="20"/>
          </w:rPr>
          <w:t>https://www.ohu.edu.tr/uluslararasi/sayfa/erasmus-yonergesi</w:t>
        </w:r>
      </w:hyperlink>
    </w:p>
    <w:p w14:paraId="62A3BCA8" w14:textId="4A83E3D6"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9E4605C" w14:textId="77777777" w:rsidTr="004F450D">
        <w:tc>
          <w:tcPr>
            <w:tcW w:w="4395" w:type="dxa"/>
            <w:shd w:val="clear" w:color="auto" w:fill="auto"/>
          </w:tcPr>
          <w:p w14:paraId="3E895A24"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383" w:type="dxa"/>
            <w:gridSpan w:val="5"/>
            <w:shd w:val="clear" w:color="auto" w:fill="auto"/>
          </w:tcPr>
          <w:p w14:paraId="3653DA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10A819D" w14:textId="77777777" w:rsidTr="004F450D">
        <w:tc>
          <w:tcPr>
            <w:tcW w:w="4395" w:type="dxa"/>
            <w:shd w:val="clear" w:color="auto" w:fill="auto"/>
          </w:tcPr>
          <w:p w14:paraId="5951759F"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876" w:type="dxa"/>
            <w:shd w:val="clear" w:color="auto" w:fill="auto"/>
          </w:tcPr>
          <w:p w14:paraId="251A4A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7CAACB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3F491F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733750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2C13DC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948CF3"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5B1B0F0B"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85CA23F" w14:textId="77777777" w:rsidTr="004F450D">
        <w:tc>
          <w:tcPr>
            <w:tcW w:w="4395" w:type="dxa"/>
            <w:shd w:val="clear" w:color="auto" w:fill="auto"/>
          </w:tcPr>
          <w:p w14:paraId="381CFCE0"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383" w:type="dxa"/>
            <w:gridSpan w:val="5"/>
            <w:shd w:val="clear" w:color="auto" w:fill="auto"/>
          </w:tcPr>
          <w:p w14:paraId="4B1DFC1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CFD63E" w14:textId="77777777" w:rsidTr="004F450D">
        <w:tc>
          <w:tcPr>
            <w:tcW w:w="4395" w:type="dxa"/>
            <w:shd w:val="clear" w:color="auto" w:fill="auto"/>
          </w:tcPr>
          <w:p w14:paraId="74C924F3"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876" w:type="dxa"/>
            <w:shd w:val="clear" w:color="auto" w:fill="auto"/>
          </w:tcPr>
          <w:p w14:paraId="639B64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5B78F2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4A0213B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7" w:type="dxa"/>
            <w:shd w:val="clear" w:color="auto" w:fill="auto"/>
          </w:tcPr>
          <w:p w14:paraId="4CBB10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3F76A6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EFF7CE" w14:textId="77777777" w:rsidR="004F450D" w:rsidRPr="00033902" w:rsidRDefault="004F450D" w:rsidP="004F450D">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515AE057"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265D3EF3"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244C5D8"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0366D9F2"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0BF6F29" w14:textId="77777777" w:rsidTr="008D0E6F">
        <w:tc>
          <w:tcPr>
            <w:tcW w:w="4395" w:type="dxa"/>
            <w:shd w:val="clear" w:color="auto" w:fill="auto"/>
          </w:tcPr>
          <w:p w14:paraId="1BC3D0AA"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4228C2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51089A" w14:textId="77777777" w:rsidTr="008D0E6F">
        <w:tc>
          <w:tcPr>
            <w:tcW w:w="4395" w:type="dxa"/>
            <w:shd w:val="clear" w:color="auto" w:fill="auto"/>
          </w:tcPr>
          <w:p w14:paraId="3B18351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6" w:type="dxa"/>
            <w:shd w:val="clear" w:color="auto" w:fill="auto"/>
          </w:tcPr>
          <w:p w14:paraId="2ABA5C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4A76834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3F9606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D0E6F">
              <w:rPr>
                <w:rFonts w:ascii="Times New Roman" w:eastAsia="Times New Roman" w:hAnsi="Times New Roman"/>
                <w:b/>
                <w:i/>
                <w:sz w:val="24"/>
                <w:szCs w:val="24"/>
                <w:highlight w:val="yellow"/>
              </w:rPr>
              <w:t>3</w:t>
            </w:r>
          </w:p>
        </w:tc>
        <w:tc>
          <w:tcPr>
            <w:tcW w:w="877" w:type="dxa"/>
            <w:shd w:val="clear" w:color="auto" w:fill="auto"/>
          </w:tcPr>
          <w:p w14:paraId="79904E3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D0E6F">
              <w:rPr>
                <w:rFonts w:ascii="Times New Roman" w:eastAsia="Times New Roman" w:hAnsi="Times New Roman"/>
                <w:b/>
                <w:i/>
                <w:sz w:val="24"/>
                <w:szCs w:val="24"/>
              </w:rPr>
              <w:t>4</w:t>
            </w:r>
          </w:p>
        </w:tc>
        <w:tc>
          <w:tcPr>
            <w:tcW w:w="877" w:type="dxa"/>
            <w:shd w:val="clear" w:color="auto" w:fill="auto"/>
          </w:tcPr>
          <w:p w14:paraId="3015D9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9D2AF2" w14:textId="419DFCFD" w:rsidR="008D0E6F" w:rsidRPr="00B57FA3" w:rsidRDefault="008D0E6F" w:rsidP="008D0E6F">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B57FA3">
        <w:rPr>
          <w:rFonts w:ascii="Times New Roman" w:eastAsia="Times New Roman" w:hAnsi="Times New Roman"/>
          <w:b/>
          <w:bCs/>
          <w:noProof/>
          <w:color w:val="000000"/>
          <w:sz w:val="20"/>
          <w:szCs w:val="20"/>
        </w:rPr>
        <w:t xml:space="preserve">: </w:t>
      </w:r>
      <w:r w:rsidRPr="008D0E6F">
        <w:rPr>
          <w:rFonts w:ascii="Times New Roman" w:eastAsia="Times New Roman" w:hAnsi="Times New Roman"/>
          <w:noProof/>
          <w:color w:val="000000"/>
          <w:sz w:val="20"/>
          <w:szCs w:val="20"/>
        </w:rPr>
        <w:t>Tanımlı süreçler doğrultusunda; Kurumun genelinde, tasarımı ve onayı gerçekleşen programlar, programların amaç ve öğrenme çıktılarına uygun olarak yürütülmektedir.</w:t>
      </w:r>
      <w:r w:rsidRPr="008D0E6F">
        <w:t xml:space="preserve"> </w:t>
      </w:r>
      <w:r w:rsidRPr="008D0E6F">
        <w:rPr>
          <w:rFonts w:ascii="Times New Roman" w:eastAsia="Times New Roman" w:hAnsi="Times New Roman"/>
          <w:noProof/>
          <w:color w:val="000000"/>
          <w:sz w:val="20"/>
          <w:szCs w:val="20"/>
        </w:rPr>
        <w:t>Tüm bölümler için program tasarım ve onay süreci Üniversite genelinde uygulanan Kalite Güvence Yönergesi kapsamında paydaş görüşü alınarak yapılmaktadır.</w:t>
      </w:r>
    </w:p>
    <w:p w14:paraId="2CC3DD34"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C33749A" w14:textId="77777777" w:rsidTr="008D0E6F">
        <w:tc>
          <w:tcPr>
            <w:tcW w:w="4395" w:type="dxa"/>
            <w:shd w:val="clear" w:color="auto" w:fill="auto"/>
          </w:tcPr>
          <w:p w14:paraId="7109E4E3"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3" w:type="dxa"/>
            <w:gridSpan w:val="5"/>
            <w:shd w:val="clear" w:color="auto" w:fill="auto"/>
          </w:tcPr>
          <w:p w14:paraId="239EBF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4AC259" w14:textId="77777777" w:rsidTr="008D0E6F">
        <w:tc>
          <w:tcPr>
            <w:tcW w:w="4395" w:type="dxa"/>
            <w:shd w:val="clear" w:color="auto" w:fill="auto"/>
          </w:tcPr>
          <w:p w14:paraId="7D0D0053"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lastRenderedPageBreak/>
              <w:t>B.1.2. Programın ders dağılım dengesi</w:t>
            </w:r>
          </w:p>
        </w:tc>
        <w:tc>
          <w:tcPr>
            <w:tcW w:w="876" w:type="dxa"/>
            <w:shd w:val="clear" w:color="auto" w:fill="auto"/>
          </w:tcPr>
          <w:p w14:paraId="76D25B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7F1988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118C7D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D0E6F">
              <w:rPr>
                <w:rFonts w:ascii="Times New Roman" w:eastAsia="Times New Roman" w:hAnsi="Times New Roman"/>
                <w:b/>
                <w:i/>
                <w:sz w:val="24"/>
                <w:szCs w:val="24"/>
                <w:highlight w:val="yellow"/>
              </w:rPr>
              <w:t>3</w:t>
            </w:r>
          </w:p>
        </w:tc>
        <w:tc>
          <w:tcPr>
            <w:tcW w:w="877" w:type="dxa"/>
            <w:shd w:val="clear" w:color="auto" w:fill="auto"/>
          </w:tcPr>
          <w:p w14:paraId="55ACF7A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7" w:type="dxa"/>
            <w:shd w:val="clear" w:color="auto" w:fill="auto"/>
          </w:tcPr>
          <w:p w14:paraId="67A5BC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0A4D8A" w14:textId="4568BECF" w:rsidR="008D0E6F" w:rsidRPr="004612EE" w:rsidRDefault="008D0E6F" w:rsidP="008D0E6F">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Akademik birimlerin öğretim üyelerinden gelen ders verme talepleri, ders içeriği için gerekli nitelikler de göz önüne alınarak bölüm başkanlı</w:t>
      </w:r>
      <w:r>
        <w:rPr>
          <w:rFonts w:ascii="Times New Roman" w:eastAsia="Times New Roman" w:hAnsi="Times New Roman"/>
          <w:noProof/>
          <w:color w:val="000000"/>
          <w:sz w:val="20"/>
          <w:szCs w:val="20"/>
        </w:rPr>
        <w:t>ğınca</w:t>
      </w:r>
      <w:r w:rsidRPr="004612EE">
        <w:rPr>
          <w:rFonts w:ascii="Times New Roman" w:eastAsia="Times New Roman" w:hAnsi="Times New Roman"/>
          <w:noProof/>
          <w:color w:val="000000"/>
          <w:sz w:val="20"/>
          <w:szCs w:val="20"/>
        </w:rPr>
        <w:t xml:space="preserve">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w:t>
      </w:r>
      <w:r>
        <w:rPr>
          <w:rFonts w:ascii="Times New Roman" w:eastAsia="Times New Roman" w:hAnsi="Times New Roman"/>
          <w:noProof/>
          <w:color w:val="000000"/>
          <w:sz w:val="20"/>
          <w:szCs w:val="20"/>
        </w:rPr>
        <w:t>D</w:t>
      </w:r>
      <w:r w:rsidRPr="004612EE">
        <w:rPr>
          <w:rFonts w:ascii="Times New Roman" w:eastAsia="Times New Roman" w:hAnsi="Times New Roman"/>
          <w:noProof/>
          <w:color w:val="000000"/>
          <w:sz w:val="20"/>
          <w:szCs w:val="20"/>
        </w:rPr>
        <w:t xml:space="preserve">ers dağılım dengesinde temel, alan ve meslek ders kategorileri dikkate alınmaktadır. Eğitim planlarında temel, alan ve meslek derslerinin dağılımı bölümlerin eğitim amaçlarına göre belirlenmektedir. </w:t>
      </w:r>
      <w:r>
        <w:rPr>
          <w:rFonts w:ascii="Times New Roman" w:eastAsia="Times New Roman" w:hAnsi="Times New Roman"/>
          <w:noProof/>
          <w:color w:val="000000"/>
          <w:sz w:val="20"/>
          <w:szCs w:val="20"/>
        </w:rPr>
        <w:t>D</w:t>
      </w:r>
      <w:r w:rsidRPr="004612EE">
        <w:rPr>
          <w:rFonts w:ascii="Times New Roman" w:eastAsia="Times New Roman" w:hAnsi="Times New Roman"/>
          <w:noProof/>
          <w:color w:val="000000"/>
          <w:sz w:val="20"/>
          <w:szCs w:val="20"/>
        </w:rPr>
        <w:t>ers planlamaları ve görevlendirmeleri, öğretim elemanlarının uzmanlık alanlarına göre ve ders yükü gibi denge unsurları gözetilerek yapılmaktadır. Gerekli durumlarda bölüm dışından görevlendirmeler talep edilmektedir.</w:t>
      </w:r>
    </w:p>
    <w:p w14:paraId="3B0EB14A"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DFEB1B8" w14:textId="77777777" w:rsidTr="00EB1A4D">
        <w:tc>
          <w:tcPr>
            <w:tcW w:w="4722" w:type="dxa"/>
            <w:shd w:val="clear" w:color="auto" w:fill="auto"/>
          </w:tcPr>
          <w:p w14:paraId="3DB43F5F"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46EFF1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26AE2FE" w14:textId="77777777" w:rsidTr="00EB1A4D">
        <w:tc>
          <w:tcPr>
            <w:tcW w:w="4722" w:type="dxa"/>
            <w:shd w:val="clear" w:color="auto" w:fill="auto"/>
          </w:tcPr>
          <w:p w14:paraId="2EF4DCAD"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02C2A4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01A74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205B67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8D0E6F">
              <w:rPr>
                <w:rFonts w:ascii="Times New Roman" w:eastAsia="Times New Roman" w:hAnsi="Times New Roman"/>
                <w:b/>
                <w:i/>
                <w:sz w:val="24"/>
                <w:szCs w:val="24"/>
                <w:highlight w:val="yellow"/>
              </w:rPr>
              <w:t>3</w:t>
            </w:r>
          </w:p>
        </w:tc>
        <w:tc>
          <w:tcPr>
            <w:tcW w:w="945" w:type="dxa"/>
            <w:shd w:val="clear" w:color="auto" w:fill="auto"/>
          </w:tcPr>
          <w:p w14:paraId="0036E84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57A5D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9930F80" w14:textId="5F273F27" w:rsidR="00ED5AD5" w:rsidRDefault="008D0E6F" w:rsidP="008D0E6F">
      <w:pPr>
        <w:widowControl w:val="0"/>
        <w:pBdr>
          <w:top w:val="nil"/>
          <w:left w:val="nil"/>
          <w:bottom w:val="nil"/>
          <w:right w:val="nil"/>
          <w:between w:val="nil"/>
        </w:pBdr>
        <w:spacing w:after="0"/>
        <w:ind w:left="567" w:right="63" w:hanging="283"/>
        <w:jc w:val="both"/>
        <w:rPr>
          <w:rFonts w:ascii="Times New Roman" w:eastAsia="CamberW04-Regular" w:hAnsi="Times New Roman"/>
          <w:b/>
          <w:i/>
        </w:rPr>
      </w:pPr>
      <w:r>
        <w:rPr>
          <w:rFonts w:ascii="Times New Roman" w:eastAsia="CamberW04-Regular" w:hAnsi="Times New Roman"/>
          <w:b/>
          <w:i/>
        </w:rPr>
        <w:t xml:space="preserve">     </w:t>
      </w:r>
      <w:r w:rsidRPr="004612EE">
        <w:rPr>
          <w:rFonts w:ascii="Times New Roman" w:eastAsia="Times New Roman" w:hAnsi="Times New Roman"/>
          <w:b/>
          <w:bCs/>
          <w:noProof/>
          <w:color w:val="000000"/>
          <w:sz w:val="20"/>
          <w:szCs w:val="20"/>
        </w:rPr>
        <w:t>Olgunluk Düzeyi 3</w:t>
      </w:r>
      <w:r>
        <w:rPr>
          <w:rFonts w:ascii="Times New Roman" w:eastAsia="Times New Roman" w:hAnsi="Times New Roman"/>
          <w:b/>
          <w:bCs/>
          <w:noProof/>
          <w:color w:val="000000"/>
          <w:sz w:val="20"/>
          <w:szCs w:val="20"/>
        </w:rPr>
        <w:t xml:space="preserve">: </w:t>
      </w:r>
      <w:r w:rsidRPr="008D0E6F">
        <w:rPr>
          <w:rFonts w:ascii="Times New Roman" w:eastAsia="Times New Roman" w:hAnsi="Times New Roman"/>
          <w:noProof/>
          <w:color w:val="000000"/>
          <w:sz w:val="20"/>
          <w:szCs w:val="20"/>
        </w:rPr>
        <w:t>Ders kazanımları programların genelinde program çıktılarıyla uyumlandırılmıştır ve ders bilgi paketleri ile paylaşılmaktadır. Bölümün temel eğitim amaçları belirlenmiş ve ağ sayfasında ilan edilmiştir.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67996FC" w14:textId="77777777" w:rsidTr="00EB1A4D">
        <w:tc>
          <w:tcPr>
            <w:tcW w:w="4722" w:type="dxa"/>
            <w:shd w:val="clear" w:color="auto" w:fill="auto"/>
          </w:tcPr>
          <w:p w14:paraId="49C68A8D"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0BE100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1F29D91" w14:textId="77777777" w:rsidTr="00EB1A4D">
        <w:tc>
          <w:tcPr>
            <w:tcW w:w="4722" w:type="dxa"/>
            <w:shd w:val="clear" w:color="auto" w:fill="auto"/>
          </w:tcPr>
          <w:p w14:paraId="31A23576"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36E9C9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1EBF66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4598CF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D74E0">
              <w:rPr>
                <w:rFonts w:ascii="Times New Roman" w:eastAsia="Times New Roman" w:hAnsi="Times New Roman"/>
                <w:b/>
                <w:i/>
                <w:sz w:val="24"/>
                <w:szCs w:val="24"/>
                <w:highlight w:val="yellow"/>
              </w:rPr>
              <w:t>3</w:t>
            </w:r>
          </w:p>
        </w:tc>
        <w:tc>
          <w:tcPr>
            <w:tcW w:w="945" w:type="dxa"/>
            <w:shd w:val="clear" w:color="auto" w:fill="auto"/>
          </w:tcPr>
          <w:p w14:paraId="4A8294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E79CE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393CAED"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44333721" w14:textId="5CC5CA0B" w:rsidR="00ED5AD5" w:rsidRDefault="008D0E6F" w:rsidP="00ED74E0">
      <w:pPr>
        <w:pBdr>
          <w:top w:val="nil"/>
          <w:left w:val="nil"/>
          <w:bottom w:val="nil"/>
          <w:right w:val="nil"/>
          <w:between w:val="nil"/>
        </w:pBdr>
        <w:spacing w:after="0"/>
        <w:ind w:left="426"/>
        <w:jc w:val="both"/>
        <w:rPr>
          <w:rFonts w:ascii="Times New Roman" w:eastAsia="Times New Roman" w:hAnsi="Times New Roman"/>
          <w:color w:val="000000"/>
          <w:sz w:val="10"/>
          <w:szCs w:val="10"/>
        </w:rPr>
      </w:pPr>
      <w:r w:rsidRPr="004612EE">
        <w:rPr>
          <w:rFonts w:ascii="Times New Roman" w:eastAsia="Times New Roman" w:hAnsi="Times New Roman"/>
          <w:b/>
          <w:bCs/>
          <w:noProof/>
          <w:color w:val="000000"/>
          <w:sz w:val="20"/>
          <w:szCs w:val="20"/>
        </w:rPr>
        <w:t xml:space="preserve">Olgunluk Düzeyi 3: </w:t>
      </w:r>
      <w:r w:rsidR="00ED74E0" w:rsidRPr="00ED74E0">
        <w:rPr>
          <w:rFonts w:ascii="Times New Roman" w:eastAsia="Times New Roman" w:hAnsi="Times New Roman"/>
          <w:noProof/>
          <w:color w:val="000000"/>
          <w:sz w:val="20"/>
          <w:szCs w:val="20"/>
        </w:rPr>
        <w:t>Dersler öğrenci iş yüküne uygun olarak tasarlanmış, ilan edilmiş ve uygulamaya konulmuştur. Staj ve dersler kapsamındaki diğer uygulamalar için AKTS iş yükleri belirlenmiş olup Ders Bilgi Paketlerinde yayınlanmıştır.</w:t>
      </w:r>
    </w:p>
    <w:p w14:paraId="7BD6B3F1"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E578A76" w14:textId="77777777" w:rsidTr="00EB1A4D">
        <w:tc>
          <w:tcPr>
            <w:tcW w:w="4722" w:type="dxa"/>
            <w:shd w:val="clear" w:color="auto" w:fill="auto"/>
          </w:tcPr>
          <w:p w14:paraId="76C22546"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11CF10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593EEC4" w14:textId="77777777" w:rsidTr="00EB1A4D">
        <w:tc>
          <w:tcPr>
            <w:tcW w:w="4722" w:type="dxa"/>
            <w:shd w:val="clear" w:color="auto" w:fill="auto"/>
          </w:tcPr>
          <w:p w14:paraId="1F67A071"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6582E5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99D8A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BE90D5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D74E0">
              <w:rPr>
                <w:rFonts w:ascii="Times New Roman" w:eastAsia="Times New Roman" w:hAnsi="Times New Roman"/>
                <w:b/>
                <w:i/>
                <w:sz w:val="24"/>
                <w:szCs w:val="24"/>
                <w:highlight w:val="yellow"/>
              </w:rPr>
              <w:t>3</w:t>
            </w:r>
          </w:p>
        </w:tc>
        <w:tc>
          <w:tcPr>
            <w:tcW w:w="945" w:type="dxa"/>
            <w:shd w:val="clear" w:color="auto" w:fill="auto"/>
          </w:tcPr>
          <w:p w14:paraId="16B23D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EFE1C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73B7ECB"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425D1E33" w14:textId="77777777" w:rsidR="00ED74E0" w:rsidRPr="004612EE" w:rsidRDefault="00ED74E0" w:rsidP="00ED74E0">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Üniversitemizde programların izlenmesinde farklı araçlar kullanılmaktadır. Birim Danışma Kurulları, İç ve Dış Paydaş görüşleri ve Öğretim Elemanlarının talepleri doğrultusunda güncellemeler gerçekleştirilmektedir. İç Paydaşların görüşleri OGRIS üzerinde kurulu İstek Yönetim Sistemi (İYS) ile alınabilmektedir. Yeni programların açılmasında ve şekillenmesinde bölgesel ve yerel ihtiyaçların yanı sıra, paydaşlarla yapılan toplantılar ve anket uygulamaları sonuçları dikkate alınmaktadır. Buna göre, yeni bölüm açılışı, öğrenci alımı veya müfredat değişikliği önerileri aşamasında paydaşların görüşleri alınmaktadır. Fakültemiz Kalite Komisyonumuz tarafından, paydaş görüşü alınarak açılan veya öğrenci alan programlar dışında kalan tüm bölüm/programların müfredatlarının güncellemelerine ilişkin planlama yapılmaktadır.</w:t>
      </w:r>
    </w:p>
    <w:p w14:paraId="607BDDF4"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DBDDA0B" w14:textId="77777777" w:rsidTr="00ED74E0">
        <w:tc>
          <w:tcPr>
            <w:tcW w:w="4395" w:type="dxa"/>
            <w:shd w:val="clear" w:color="auto" w:fill="auto"/>
          </w:tcPr>
          <w:p w14:paraId="0AFEB9ED"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 xml:space="preserve">B.1. Programların Tasarımı, </w:t>
            </w:r>
            <w:r w:rsidRPr="00A14A9F">
              <w:rPr>
                <w:rFonts w:ascii="Times New Roman" w:eastAsia="Times New Roman" w:hAnsi="Times New Roman"/>
                <w:b/>
                <w:sz w:val="24"/>
                <w:szCs w:val="24"/>
              </w:rPr>
              <w:lastRenderedPageBreak/>
              <w:t>Değerlendirilmesi ve Güncellenmesi</w:t>
            </w:r>
          </w:p>
        </w:tc>
        <w:tc>
          <w:tcPr>
            <w:tcW w:w="4383" w:type="dxa"/>
            <w:gridSpan w:val="5"/>
            <w:shd w:val="clear" w:color="auto" w:fill="auto"/>
          </w:tcPr>
          <w:p w14:paraId="692F7C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14:paraId="086CB0A0" w14:textId="77777777" w:rsidTr="00ED74E0">
        <w:tc>
          <w:tcPr>
            <w:tcW w:w="4395" w:type="dxa"/>
            <w:shd w:val="clear" w:color="auto" w:fill="auto"/>
          </w:tcPr>
          <w:p w14:paraId="5762C670"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6" w:type="dxa"/>
            <w:shd w:val="clear" w:color="auto" w:fill="auto"/>
          </w:tcPr>
          <w:p w14:paraId="0363AC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7" w:type="dxa"/>
            <w:shd w:val="clear" w:color="auto" w:fill="auto"/>
          </w:tcPr>
          <w:p w14:paraId="21EAEBD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6" w:type="dxa"/>
            <w:shd w:val="clear" w:color="auto" w:fill="auto"/>
          </w:tcPr>
          <w:p w14:paraId="4C660C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D74E0">
              <w:rPr>
                <w:rFonts w:ascii="Times New Roman" w:eastAsia="Times New Roman" w:hAnsi="Times New Roman"/>
                <w:b/>
                <w:i/>
                <w:sz w:val="24"/>
                <w:szCs w:val="24"/>
                <w:highlight w:val="yellow"/>
              </w:rPr>
              <w:t>3</w:t>
            </w:r>
          </w:p>
        </w:tc>
        <w:tc>
          <w:tcPr>
            <w:tcW w:w="877" w:type="dxa"/>
            <w:shd w:val="clear" w:color="auto" w:fill="auto"/>
          </w:tcPr>
          <w:p w14:paraId="01FBF2E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D74E0">
              <w:rPr>
                <w:rFonts w:ascii="Times New Roman" w:eastAsia="Times New Roman" w:hAnsi="Times New Roman"/>
                <w:b/>
                <w:i/>
                <w:sz w:val="24"/>
                <w:szCs w:val="24"/>
              </w:rPr>
              <w:t>4</w:t>
            </w:r>
          </w:p>
        </w:tc>
        <w:tc>
          <w:tcPr>
            <w:tcW w:w="877" w:type="dxa"/>
            <w:shd w:val="clear" w:color="auto" w:fill="auto"/>
          </w:tcPr>
          <w:p w14:paraId="39A19F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EC55498" w14:textId="77777777" w:rsidR="00ED74E0" w:rsidRPr="004612EE" w:rsidRDefault="00ED74E0" w:rsidP="00ED74E0">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Fakültemiz, eğitim ve öğretim süreçlerini bütüncül olarak ele alan bir organizasyon yapısına sahiptir. Bütün bu organizasyon yapısına yönelik görev ve sorumluluklar fakülte düzeyinde ve birimler düzeyinde tanımlanmıştır ve akademik takvim ile belirlenen tarihlerde yürütülmektedir. Personel görev ve sorumlulukları akademik ve idari yöneticiler görev ve sorumlulukları ile birim çalışma yönergesi/yönetmelikleri doğrultusunda mevzuatlara uygun olarak tanımlanmıştır. </w:t>
      </w:r>
    </w:p>
    <w:p w14:paraId="534B3025" w14:textId="77777777" w:rsidR="00ED74E0" w:rsidRPr="004612EE" w:rsidRDefault="00ED74E0" w:rsidP="00ED74E0">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Eğitim ve öğretim süreçlerinin yönetimi Senato ve Eğitim-Öğretim Komisyonu kararları doğrultusunda gerçekleştirilmektedir. Buna uygun olarak bölüm düzeyindeki eğitim-öğretim süreçleri bölüm kurulu ve komisyonları aracılığıyla akademik takvime uygun olarak yapılmaktadır. Ayrılma, yeni atanma ve unvan değişikliği durumlarına göre gerekli hallerde bölüm komisyonları güncellenmektedir.</w:t>
      </w:r>
    </w:p>
    <w:p w14:paraId="4CC0A6D1" w14:textId="77777777" w:rsidR="00ED5AD5" w:rsidRDefault="00ED5AD5" w:rsidP="00ED5AD5">
      <w:pPr>
        <w:widowControl w:val="0"/>
        <w:spacing w:after="0"/>
        <w:ind w:right="63"/>
        <w:jc w:val="both"/>
        <w:rPr>
          <w:rFonts w:ascii="Times New Roman" w:eastAsia="CamberW04-Regular" w:hAnsi="Times New Roman"/>
          <w:b/>
          <w:i/>
        </w:rPr>
      </w:pPr>
    </w:p>
    <w:p w14:paraId="15CC7EB7"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6125DD56"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04A9288D"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6A9DF48" w14:textId="77777777" w:rsidTr="000F3319">
        <w:tc>
          <w:tcPr>
            <w:tcW w:w="4383" w:type="dxa"/>
            <w:shd w:val="clear" w:color="auto" w:fill="auto"/>
            <w:vAlign w:val="center"/>
          </w:tcPr>
          <w:p w14:paraId="688569CF"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61391A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78A746" w14:textId="77777777" w:rsidTr="000F3319">
        <w:tc>
          <w:tcPr>
            <w:tcW w:w="4383" w:type="dxa"/>
            <w:shd w:val="clear" w:color="auto" w:fill="auto"/>
            <w:vAlign w:val="center"/>
          </w:tcPr>
          <w:p w14:paraId="1DE7B69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9" w:type="dxa"/>
            <w:shd w:val="clear" w:color="auto" w:fill="auto"/>
            <w:vAlign w:val="center"/>
          </w:tcPr>
          <w:p w14:paraId="5D543B6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0377F7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2C58E0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0F3319">
              <w:rPr>
                <w:rFonts w:ascii="Times New Roman" w:eastAsia="Times New Roman" w:hAnsi="Times New Roman"/>
                <w:b/>
                <w:i/>
                <w:sz w:val="24"/>
                <w:szCs w:val="24"/>
                <w:highlight w:val="yellow"/>
              </w:rPr>
              <w:t>3</w:t>
            </w:r>
          </w:p>
        </w:tc>
        <w:tc>
          <w:tcPr>
            <w:tcW w:w="879" w:type="dxa"/>
            <w:shd w:val="clear" w:color="auto" w:fill="auto"/>
            <w:vAlign w:val="center"/>
          </w:tcPr>
          <w:p w14:paraId="68B33A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3EDD2F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DB61155" w14:textId="33462A9C" w:rsidR="00ED5AD5" w:rsidRDefault="000F3319" w:rsidP="00ED5AD5">
      <w:pPr>
        <w:widowControl w:val="0"/>
        <w:spacing w:after="0" w:line="360" w:lineRule="auto"/>
        <w:ind w:left="507" w:right="63"/>
        <w:jc w:val="both"/>
        <w:rPr>
          <w:rFonts w:ascii="Times New Roman" w:eastAsia="Times New Roman" w:hAnsi="Times New Roman"/>
          <w:b/>
          <w:sz w:val="24"/>
          <w:szCs w:val="24"/>
        </w:rPr>
      </w:pPr>
      <w:r w:rsidRPr="004612EE">
        <w:rPr>
          <w:rFonts w:ascii="Times New Roman" w:eastAsia="Times New Roman" w:hAnsi="Times New Roman"/>
          <w:b/>
          <w:bCs/>
          <w:noProof/>
          <w:color w:val="000000"/>
          <w:sz w:val="20"/>
          <w:szCs w:val="20"/>
        </w:rPr>
        <w:t xml:space="preserve">Olgunluk Düzeyi 3: </w:t>
      </w:r>
      <w:r w:rsidRPr="000F3319">
        <w:rPr>
          <w:rFonts w:ascii="Times New Roman" w:eastAsia="Times New Roman" w:hAnsi="Times New Roman"/>
          <w:noProof/>
          <w:color w:val="000000"/>
          <w:sz w:val="20"/>
          <w:szCs w:val="20"/>
        </w:rPr>
        <w:t>Programların genelinde öğrenci merkezli ve çeşitlendirilmiş ölçme ve değerlendirme uygulamaları bulunmaktadır. Bölümde tüm sınav ve uygulamalar ilgili mevzuat çerçevesinde değerlendirilmektedir. Akreditasyon programı kapsamında bölüm öğretim elemanları ders dosyaları hazırlamakta ve öğrenci yeterlilikleri ölçülmektedir.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E4B27DA" w14:textId="77777777" w:rsidTr="000F3319">
        <w:tc>
          <w:tcPr>
            <w:tcW w:w="4383" w:type="dxa"/>
            <w:shd w:val="clear" w:color="auto" w:fill="auto"/>
            <w:vAlign w:val="center"/>
          </w:tcPr>
          <w:p w14:paraId="6CC3A8BE"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292D6A1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9D9F437" w14:textId="77777777" w:rsidTr="000F3319">
        <w:tc>
          <w:tcPr>
            <w:tcW w:w="4383" w:type="dxa"/>
            <w:shd w:val="clear" w:color="auto" w:fill="auto"/>
            <w:vAlign w:val="center"/>
          </w:tcPr>
          <w:p w14:paraId="3444C4F1"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9" w:type="dxa"/>
            <w:shd w:val="clear" w:color="auto" w:fill="auto"/>
            <w:vAlign w:val="center"/>
          </w:tcPr>
          <w:p w14:paraId="4D4416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482DD0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20A21C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5A2D">
              <w:rPr>
                <w:rFonts w:ascii="Times New Roman" w:eastAsia="Times New Roman" w:hAnsi="Times New Roman"/>
                <w:b/>
                <w:i/>
                <w:sz w:val="24"/>
                <w:szCs w:val="24"/>
                <w:highlight w:val="yellow"/>
              </w:rPr>
              <w:t>3</w:t>
            </w:r>
          </w:p>
        </w:tc>
        <w:tc>
          <w:tcPr>
            <w:tcW w:w="879" w:type="dxa"/>
            <w:shd w:val="clear" w:color="auto" w:fill="auto"/>
            <w:vAlign w:val="center"/>
          </w:tcPr>
          <w:p w14:paraId="06265D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08CA74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F0FBD1" w14:textId="15A03197" w:rsidR="000F3319" w:rsidRPr="00646481" w:rsidRDefault="000F3319" w:rsidP="000F3319">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Bilişim Sistemleri ve Teknoloji bölümünde</w:t>
      </w:r>
      <w:r w:rsidRPr="00646481">
        <w:rPr>
          <w:rFonts w:ascii="Times New Roman" w:eastAsia="Times New Roman" w:hAnsi="Times New Roman"/>
          <w:noProof/>
          <w:color w:val="000000"/>
          <w:sz w:val="20"/>
          <w:szCs w:val="20"/>
        </w:rPr>
        <w:t xml:space="preserve"> ölçme ve değerlendirme süreçleri</w:t>
      </w:r>
      <w:r>
        <w:rPr>
          <w:rFonts w:ascii="Times New Roman" w:eastAsia="Times New Roman" w:hAnsi="Times New Roman"/>
          <w:noProof/>
          <w:color w:val="000000"/>
          <w:sz w:val="20"/>
          <w:szCs w:val="20"/>
        </w:rPr>
        <w:t xml:space="preserve"> </w:t>
      </w:r>
      <w:r w:rsidRPr="00646481">
        <w:rPr>
          <w:rFonts w:ascii="Times New Roman" w:eastAsia="Times New Roman" w:hAnsi="Times New Roman"/>
          <w:noProof/>
          <w:color w:val="000000"/>
          <w:sz w:val="20"/>
          <w:szCs w:val="20"/>
        </w:rPr>
        <w:t>Lisans Eğitim Öğretim ve Sınav Yönetmelikleri ile Başarı Ölçme ve Değerlendirme Esasları Yönergesine göre gerçekleştirilmektedir. Devamı veya sınava girmeyi engelleyen haklı ve geçerli nedenlerin oluşması durumunda, tüm öğrencilerimize yönelik mazeret sınavı gibi açık düzenlemeler yer almaktadır</w:t>
      </w:r>
      <w:r>
        <w:rPr>
          <w:rFonts w:ascii="Times New Roman" w:eastAsia="Times New Roman" w:hAnsi="Times New Roman"/>
          <w:noProof/>
          <w:color w:val="000000"/>
          <w:sz w:val="20"/>
          <w:szCs w:val="20"/>
        </w:rPr>
        <w:t>.</w:t>
      </w:r>
      <w:r w:rsidRPr="00646481">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O</w:t>
      </w:r>
      <w:r w:rsidRPr="00646481">
        <w:rPr>
          <w:rFonts w:ascii="Times New Roman" w:eastAsia="Times New Roman" w:hAnsi="Times New Roman"/>
          <w:noProof/>
          <w:color w:val="000000"/>
          <w:sz w:val="20"/>
          <w:szCs w:val="20"/>
        </w:rPr>
        <w:t>luşturulmuş komisyonların kontrolüyle, mezuniyet koşullarına dair süreç ve düzenlemeler ilgili yönetmelik ve yönergelerde belirtilmiş ve yürütülmektedir.</w:t>
      </w:r>
    </w:p>
    <w:p w14:paraId="69F96840" w14:textId="77777777" w:rsidR="000F3319" w:rsidRPr="00646481" w:rsidRDefault="000F3319" w:rsidP="000F3319">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noProof/>
          <w:color w:val="000000"/>
          <w:sz w:val="20"/>
          <w:szCs w:val="20"/>
        </w:rPr>
        <w:t xml:space="preserve">Programların genelinde öğrenci merkezli ve çeşitlendirilmiş ölçme ve değerlendirme uygulamaları </w:t>
      </w:r>
      <w:r w:rsidRPr="00646481">
        <w:rPr>
          <w:rFonts w:ascii="Times New Roman" w:eastAsia="Times New Roman" w:hAnsi="Times New Roman"/>
          <w:noProof/>
          <w:color w:val="000000"/>
          <w:sz w:val="20"/>
          <w:szCs w:val="20"/>
        </w:rPr>
        <w:lastRenderedPageBreak/>
        <w:t>bulunmaktadır.</w:t>
      </w:r>
      <w:r w:rsidRPr="00646481">
        <w:rPr>
          <w:rFonts w:ascii="Times New Roman" w:eastAsia="Times New Roman" w:hAnsi="Times New Roman"/>
          <w:noProof/>
          <w:color w:val="000000"/>
          <w:sz w:val="20"/>
          <w:szCs w:val="20"/>
        </w:rPr>
        <w:br/>
      </w:r>
      <w:r w:rsidRPr="00646481">
        <w:rPr>
          <w:rFonts w:ascii="Times New Roman" w:eastAsia="Times New Roman" w:hAnsi="Times New Roman"/>
          <w:b/>
          <w:bCs/>
          <w:noProof/>
          <w:color w:val="000000"/>
          <w:sz w:val="20"/>
          <w:szCs w:val="20"/>
        </w:rPr>
        <w:br/>
        <w:t xml:space="preserve">Başarı Ölçme ve Değerlendirme Esasları Yönergesi              : </w:t>
      </w:r>
      <w:hyperlink r:id="rId11" w:history="1">
        <w:r w:rsidRPr="00E12D29">
          <w:rPr>
            <w:bCs/>
            <w:noProof/>
            <w:color w:val="0070C0"/>
            <w:sz w:val="20"/>
            <w:szCs w:val="20"/>
          </w:rPr>
          <w:t>https://static.ohu.edu.tr/uniweb/media/portallar/oidb//sayfalar/2957/yo0tspj3.pdf</w:t>
        </w:r>
      </w:hyperlink>
    </w:p>
    <w:p w14:paraId="20214B99" w14:textId="10672001" w:rsidR="000F3319" w:rsidRPr="00646481" w:rsidRDefault="000F3319" w:rsidP="000F3319">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 Eğitim Öğretim ve Sınav Yönetmeliği     : </w:t>
      </w:r>
      <w:hyperlink r:id="rId12" w:history="1">
        <w:r w:rsidRPr="00E12D29">
          <w:rPr>
            <w:bCs/>
            <w:noProof/>
            <w:color w:val="0070C0"/>
            <w:sz w:val="20"/>
            <w:szCs w:val="20"/>
          </w:rPr>
          <w:t>https://www.mevzuat.gov.tr/mevzuat?MevzuatNo=9392&amp;MevzuatTur=8&amp;MevzuatTertip=5</w:t>
        </w:r>
      </w:hyperlink>
      <w:r w:rsidRPr="00E12D29">
        <w:rPr>
          <w:rFonts w:ascii="Times New Roman" w:eastAsia="Times New Roman" w:hAnsi="Times New Roman"/>
          <w:b/>
          <w:bCs/>
          <w:noProof/>
          <w:color w:val="0070C0"/>
          <w:sz w:val="20"/>
          <w:szCs w:val="20"/>
        </w:rPr>
        <w:t xml:space="preserve"> </w:t>
      </w:r>
    </w:p>
    <w:p w14:paraId="197ADAB1"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2D360A3E" w14:textId="77777777" w:rsidTr="000F3319">
        <w:tc>
          <w:tcPr>
            <w:tcW w:w="4383" w:type="dxa"/>
            <w:shd w:val="clear" w:color="auto" w:fill="auto"/>
            <w:vAlign w:val="center"/>
          </w:tcPr>
          <w:p w14:paraId="192483AE"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5" w:type="dxa"/>
            <w:gridSpan w:val="5"/>
            <w:shd w:val="clear" w:color="auto" w:fill="auto"/>
            <w:vAlign w:val="center"/>
          </w:tcPr>
          <w:p w14:paraId="28DC79B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995E8A7" w14:textId="77777777" w:rsidTr="000F3319">
        <w:tc>
          <w:tcPr>
            <w:tcW w:w="4383" w:type="dxa"/>
            <w:shd w:val="clear" w:color="auto" w:fill="auto"/>
            <w:vAlign w:val="center"/>
          </w:tcPr>
          <w:p w14:paraId="0D33BF2C"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9" w:type="dxa"/>
            <w:shd w:val="clear" w:color="auto" w:fill="auto"/>
            <w:vAlign w:val="center"/>
          </w:tcPr>
          <w:p w14:paraId="1539BBE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62E93F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2931AFF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5A2D">
              <w:rPr>
                <w:rFonts w:ascii="Times New Roman" w:eastAsia="Times New Roman" w:hAnsi="Times New Roman"/>
                <w:b/>
                <w:i/>
                <w:sz w:val="24"/>
                <w:szCs w:val="24"/>
                <w:highlight w:val="yellow"/>
              </w:rPr>
              <w:t>3</w:t>
            </w:r>
          </w:p>
        </w:tc>
        <w:tc>
          <w:tcPr>
            <w:tcW w:w="879" w:type="dxa"/>
            <w:shd w:val="clear" w:color="auto" w:fill="auto"/>
            <w:vAlign w:val="center"/>
          </w:tcPr>
          <w:p w14:paraId="7237E8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65D3CE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726934" w14:textId="06609572" w:rsidR="000F3319" w:rsidRPr="00646481" w:rsidRDefault="000F3319" w:rsidP="000F3319">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w:t>
      </w:r>
      <w:r w:rsidR="00A75A2D">
        <w:rPr>
          <w:rFonts w:ascii="Times New Roman" w:eastAsia="Times New Roman" w:hAnsi="Times New Roman"/>
          <w:noProof/>
          <w:color w:val="000000"/>
          <w:sz w:val="20"/>
          <w:szCs w:val="20"/>
        </w:rPr>
        <w:t>mde</w:t>
      </w:r>
      <w:r w:rsidRPr="00646481">
        <w:rPr>
          <w:rFonts w:ascii="Times New Roman" w:eastAsia="Times New Roman" w:hAnsi="Times New Roman"/>
          <w:noProof/>
          <w:color w:val="000000"/>
          <w:sz w:val="20"/>
          <w:szCs w:val="20"/>
        </w:rPr>
        <w:t xml:space="preserve"> lisans düzeyindeki öğrenci kabul sürecinde ilk aşama olarak öğrenci kontenjanları bölüm tarafından önerilmekte ve Üniversite Senatosu tarafından onaylanarak YÖK’e iletilmektedir. T.C. uyruklu öğrenciler Üniversitemize Ölçme, Seçme ve Yerleştirme Merkezi (ÖSYM) tarafından yapılan TYT ve AYT sınavları ile yerleştirilmektedir. Uluslararası öğrenciler için koşullar ve kontenjanlar YÖK’ün ve Üniversitemizin web sayfasında başvurular öncesinde ilan edilmektedir. Üniversite içinden veya diğer üniversitelerden Üniversite birimlerine yatay geçişler; 24/4/2010 tarihli ve 27561 sayılı Resmî Gazete’de yayımlanan Yükseköğretim Kurumlarında Ön Lisans ve Lisans Düzeyindeki Programlar Arasında Geçiş, Çift Ana Dal, Yan Dal ile Kurumlar Arası Kredi Transferi Yapılması Esaslarına İlişkin Yönetmelik hükümlerine ve Senatonun belirlediği esaslara göre yürütülmektedir.</w:t>
      </w:r>
    </w:p>
    <w:p w14:paraId="723ACB3A" w14:textId="77777777" w:rsidR="000F3319" w:rsidRPr="00646481" w:rsidRDefault="000F3319" w:rsidP="000F3319">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Kurumun genelinde öğrenci kabulü, önceki öğrenmenin tanınması ve kredilendirilmesine ilişkin planlar dahilinde uygulamalar bulunmaktadır. </w:t>
      </w:r>
    </w:p>
    <w:p w14:paraId="54935A05" w14:textId="0A3BAC3F" w:rsidR="000F3319" w:rsidRPr="00646481" w:rsidRDefault="000F3319" w:rsidP="000F3319">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noProof/>
          <w:color w:val="000000"/>
          <w:sz w:val="20"/>
          <w:szCs w:val="20"/>
        </w:rPr>
        <w:t>Bölümde</w:t>
      </w:r>
      <w:r w:rsidRPr="00646481">
        <w:rPr>
          <w:rFonts w:ascii="Times New Roman" w:eastAsia="Times New Roman" w:hAnsi="Times New Roman"/>
          <w:noProof/>
          <w:color w:val="000000"/>
          <w:sz w:val="20"/>
          <w:szCs w:val="20"/>
        </w:rPr>
        <w:t xml:space="preserve"> Oryantasyon Eğitimi ve Birinci sınıf öğrencilerimiz için yapılan danışman-öğrenci toplantısı ile yeni kayıt yaptıran öğrenciler bilgilendirilmektedir. Bölümümüz Muafiyet ve İntibak Komisyonu, Üniversitemiz Ön Lisans ve Lisans Muafiyet ve İntibak İşlemleri Yönergesine göre DGS ve yatay geçiş ile kayıt yaptıran öğrencilerimizin önceki öğrenmenin tanınması ve kredilendirilmesi işlemlerini yürütmektedir.</w:t>
      </w:r>
      <w:r w:rsidRPr="00646481">
        <w:rPr>
          <w:rFonts w:ascii="Times New Roman" w:eastAsia="Times New Roman" w:hAnsi="Times New Roman"/>
          <w:b/>
          <w:bCs/>
          <w:noProof/>
          <w:color w:val="000000"/>
          <w:sz w:val="20"/>
          <w:szCs w:val="20"/>
        </w:rPr>
        <w:br/>
      </w:r>
      <w:r w:rsidRPr="00646481">
        <w:rPr>
          <w:rFonts w:ascii="Times New Roman" w:eastAsia="Times New Roman" w:hAnsi="Times New Roman"/>
          <w:b/>
          <w:bCs/>
          <w:noProof/>
          <w:color w:val="000000"/>
          <w:sz w:val="20"/>
          <w:szCs w:val="20"/>
        </w:rPr>
        <w:br/>
        <w:t xml:space="preserve">Önlisans ve Lisans Eğitim Öğretim ve Sınav Yönetmeliği     : </w:t>
      </w:r>
      <w:hyperlink r:id="rId13" w:history="1">
        <w:r w:rsidRPr="00E12D29">
          <w:rPr>
            <w:bCs/>
            <w:noProof/>
            <w:color w:val="0070C0"/>
            <w:sz w:val="20"/>
            <w:szCs w:val="20"/>
          </w:rPr>
          <w:t>https://www.mevzuat.gov.tr/mevzuat?MevzuatNo=9392&amp;MevzuatTur=8&amp;MevzuatTertip=5</w:t>
        </w:r>
      </w:hyperlink>
      <w:r w:rsidRPr="00E12D29">
        <w:rPr>
          <w:rFonts w:ascii="Times New Roman" w:eastAsia="Times New Roman" w:hAnsi="Times New Roman"/>
          <w:b/>
          <w:bCs/>
          <w:noProof/>
          <w:color w:val="0070C0"/>
          <w:sz w:val="20"/>
          <w:szCs w:val="20"/>
        </w:rPr>
        <w:t xml:space="preserve"> </w:t>
      </w:r>
    </w:p>
    <w:p w14:paraId="570B0D28"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08623C22" w14:textId="77777777" w:rsidTr="00A75A2D">
        <w:tc>
          <w:tcPr>
            <w:tcW w:w="4400" w:type="dxa"/>
            <w:shd w:val="clear" w:color="auto" w:fill="auto"/>
            <w:vAlign w:val="center"/>
          </w:tcPr>
          <w:p w14:paraId="5E04A41A"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14:paraId="73185AD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D0585A9" w14:textId="77777777" w:rsidTr="00A75A2D">
        <w:tc>
          <w:tcPr>
            <w:tcW w:w="4400" w:type="dxa"/>
            <w:shd w:val="clear" w:color="auto" w:fill="auto"/>
            <w:vAlign w:val="center"/>
          </w:tcPr>
          <w:p w14:paraId="3BA99D39"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5" w:type="dxa"/>
            <w:shd w:val="clear" w:color="auto" w:fill="auto"/>
            <w:vAlign w:val="center"/>
          </w:tcPr>
          <w:p w14:paraId="750168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vAlign w:val="center"/>
          </w:tcPr>
          <w:p w14:paraId="520E0E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5" w:type="dxa"/>
            <w:shd w:val="clear" w:color="auto" w:fill="auto"/>
            <w:vAlign w:val="center"/>
          </w:tcPr>
          <w:p w14:paraId="004D616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5A2D">
              <w:rPr>
                <w:rFonts w:ascii="Times New Roman" w:eastAsia="Times New Roman" w:hAnsi="Times New Roman"/>
                <w:b/>
                <w:i/>
                <w:sz w:val="24"/>
                <w:szCs w:val="24"/>
                <w:highlight w:val="yellow"/>
              </w:rPr>
              <w:t>3</w:t>
            </w:r>
          </w:p>
        </w:tc>
        <w:tc>
          <w:tcPr>
            <w:tcW w:w="876" w:type="dxa"/>
            <w:shd w:val="clear" w:color="auto" w:fill="auto"/>
            <w:vAlign w:val="center"/>
          </w:tcPr>
          <w:p w14:paraId="339F013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vAlign w:val="center"/>
          </w:tcPr>
          <w:p w14:paraId="75FE6F6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653E175" w14:textId="0488D52F" w:rsidR="00A75A2D" w:rsidRPr="00646481" w:rsidRDefault="00A75A2D" w:rsidP="00A75A2D">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Bölümde</w:t>
      </w:r>
      <w:r w:rsidRPr="00646481">
        <w:rPr>
          <w:rFonts w:ascii="Times New Roman" w:eastAsia="Times New Roman" w:hAnsi="Times New Roman"/>
          <w:noProof/>
          <w:color w:val="000000"/>
          <w:sz w:val="20"/>
          <w:szCs w:val="20"/>
        </w:rPr>
        <w:t xml:space="preserve"> öğrenimlerine devam eden lisans öğrenciler</w:t>
      </w:r>
      <w:r>
        <w:rPr>
          <w:rFonts w:ascii="Times New Roman" w:eastAsia="Times New Roman" w:hAnsi="Times New Roman"/>
          <w:noProof/>
          <w:color w:val="000000"/>
          <w:sz w:val="20"/>
          <w:szCs w:val="20"/>
        </w:rPr>
        <w:t>i</w:t>
      </w:r>
      <w:r w:rsidRPr="00646481">
        <w:rPr>
          <w:rFonts w:ascii="Times New Roman" w:eastAsia="Times New Roman" w:hAnsi="Times New Roman"/>
          <w:noProof/>
          <w:color w:val="000000"/>
          <w:sz w:val="20"/>
          <w:szCs w:val="20"/>
        </w:rPr>
        <w:t xml:space="preserve"> için kayıt-kabul, eğitim-öğretim ve sınavlara ilişkin usul ve esaslar tanımlanmıştır. Bir öğrencinin mezun olabilmesi için </w:t>
      </w:r>
      <w:r>
        <w:rPr>
          <w:rFonts w:ascii="Times New Roman" w:eastAsia="Times New Roman" w:hAnsi="Times New Roman"/>
          <w:noProof/>
          <w:color w:val="000000"/>
          <w:sz w:val="20"/>
          <w:szCs w:val="20"/>
        </w:rPr>
        <w:t>bölümümüzün</w:t>
      </w:r>
      <w:r w:rsidRPr="00646481">
        <w:rPr>
          <w:rFonts w:ascii="Times New Roman" w:eastAsia="Times New Roman" w:hAnsi="Times New Roman"/>
          <w:noProof/>
          <w:color w:val="000000"/>
          <w:sz w:val="20"/>
          <w:szCs w:val="20"/>
        </w:rPr>
        <w:t xml:space="preserve"> eğitim-öğretim planına göre alması gereken tüm derslerden ve zorunlu staj çalışmasından başarılı olması gerekmektedir. Dört yıllık </w:t>
      </w:r>
      <w:r>
        <w:rPr>
          <w:rFonts w:ascii="Times New Roman" w:eastAsia="Times New Roman" w:hAnsi="Times New Roman"/>
          <w:noProof/>
          <w:color w:val="000000"/>
          <w:sz w:val="20"/>
          <w:szCs w:val="20"/>
        </w:rPr>
        <w:t>bir program olan bölününüzün</w:t>
      </w:r>
      <w:r w:rsidRPr="00646481">
        <w:rPr>
          <w:rFonts w:ascii="Times New Roman" w:eastAsia="Times New Roman" w:hAnsi="Times New Roman"/>
          <w:noProof/>
          <w:color w:val="000000"/>
          <w:sz w:val="20"/>
          <w:szCs w:val="20"/>
        </w:rPr>
        <w:t xml:space="preserve"> en az 240 AKTS  kapsaması </w:t>
      </w:r>
      <w:r w:rsidRPr="00646481">
        <w:rPr>
          <w:rFonts w:ascii="Times New Roman" w:eastAsia="Times New Roman" w:hAnsi="Times New Roman"/>
          <w:noProof/>
          <w:color w:val="000000"/>
          <w:sz w:val="20"/>
          <w:szCs w:val="20"/>
        </w:rPr>
        <w:lastRenderedPageBreak/>
        <w:t>gerekmektedir. Benzer şekilde, yatay geçiş, çift ana dal ve yan dal programlarına başvuru ve kabul süreçleri için de usul ve esaslar belirlenmiştir. Erasmus, Farabi, Mevlana ve Orhun değişim programları kapsamında da yurt içi ve yurt dışı yükseköğretim kurumlarından alınan derslerin intibak işlemleri yönetmelikler dâhilinde gerçekleştirilmektedir.</w:t>
      </w:r>
    </w:p>
    <w:p w14:paraId="17E56EF3"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57DE2FDA"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01DE944B"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52EBA968"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BE274E4" w14:textId="77777777" w:rsidTr="00A75A2D">
        <w:tc>
          <w:tcPr>
            <w:tcW w:w="4359" w:type="dxa"/>
            <w:shd w:val="clear" w:color="auto" w:fill="auto"/>
            <w:vAlign w:val="center"/>
          </w:tcPr>
          <w:p w14:paraId="35CEE269"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5CD0A8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0D4F9AB" w14:textId="77777777" w:rsidTr="00A75A2D">
        <w:tc>
          <w:tcPr>
            <w:tcW w:w="4359" w:type="dxa"/>
            <w:shd w:val="clear" w:color="auto" w:fill="auto"/>
            <w:vAlign w:val="center"/>
          </w:tcPr>
          <w:p w14:paraId="49AB3C73"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493AD7A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716FED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6DEE547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5A2D">
              <w:rPr>
                <w:rFonts w:ascii="Times New Roman" w:eastAsia="Times New Roman" w:hAnsi="Times New Roman"/>
                <w:b/>
                <w:i/>
                <w:sz w:val="24"/>
                <w:szCs w:val="24"/>
                <w:highlight w:val="yellow"/>
              </w:rPr>
              <w:t>3</w:t>
            </w:r>
          </w:p>
        </w:tc>
        <w:tc>
          <w:tcPr>
            <w:tcW w:w="884" w:type="dxa"/>
            <w:shd w:val="clear" w:color="auto" w:fill="auto"/>
            <w:vAlign w:val="center"/>
          </w:tcPr>
          <w:p w14:paraId="6B2B68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7B5D2E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57AE5F8" w14:textId="0907B059" w:rsidR="00ED5AD5" w:rsidRPr="005F024A" w:rsidRDefault="00A75A2D" w:rsidP="00A75A2D">
      <w:pPr>
        <w:widowControl w:val="0"/>
        <w:spacing w:after="0" w:line="360" w:lineRule="auto"/>
        <w:ind w:left="510" w:right="62" w:hanging="3"/>
        <w:jc w:val="both"/>
        <w:rPr>
          <w:rFonts w:ascii="Times New Roman" w:eastAsia="Times New Roman" w:hAnsi="Times New Roman"/>
          <w:b/>
          <w:sz w:val="24"/>
          <w:szCs w:val="24"/>
        </w:rPr>
      </w:pPr>
      <w:r w:rsidRPr="00646481">
        <w:rPr>
          <w:rFonts w:ascii="Times New Roman" w:eastAsia="Times New Roman" w:hAnsi="Times New Roman"/>
          <w:b/>
          <w:bCs/>
          <w:noProof/>
          <w:color w:val="000000"/>
          <w:sz w:val="20"/>
          <w:szCs w:val="20"/>
        </w:rPr>
        <w:t xml:space="preserve">Olgunluk Düzeyi 3: </w:t>
      </w:r>
      <w:r w:rsidRPr="00994D86">
        <w:rPr>
          <w:rFonts w:ascii="Times New Roman" w:eastAsia="Times New Roman" w:hAnsi="Times New Roman"/>
          <w:noProof/>
          <w:color w:val="000000"/>
          <w:sz w:val="20"/>
          <w:szCs w:val="20"/>
        </w:rPr>
        <w:t>Kurumun genelinde öğrenme kaynaklarının yönetimi alana özgü koşullar, erişilebilirlik ve birimler arası denge gözetilerek gerçekleştirilmektedir. Fakültedeki derslikler, bilgisayar laboratuvarı ile çalışma salonu gibi diğer alanlar ortak kullanıma açık</w:t>
      </w:r>
      <w:r w:rsidR="00E97A62">
        <w:rPr>
          <w:rFonts w:ascii="Times New Roman" w:eastAsia="Times New Roman" w:hAnsi="Times New Roman"/>
          <w:noProof/>
          <w:color w:val="000000"/>
          <w:sz w:val="20"/>
          <w:szCs w:val="20"/>
        </w:rPr>
        <w:t>tır.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D407E13" w14:textId="77777777" w:rsidTr="00A75A2D">
        <w:tc>
          <w:tcPr>
            <w:tcW w:w="4359" w:type="dxa"/>
            <w:shd w:val="clear" w:color="auto" w:fill="auto"/>
            <w:vAlign w:val="center"/>
          </w:tcPr>
          <w:p w14:paraId="16D53490"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0C4E27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8E116FF" w14:textId="77777777" w:rsidTr="00A75A2D">
        <w:tc>
          <w:tcPr>
            <w:tcW w:w="4359" w:type="dxa"/>
            <w:shd w:val="clear" w:color="auto" w:fill="auto"/>
            <w:vAlign w:val="center"/>
          </w:tcPr>
          <w:p w14:paraId="1E316B42"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68EC79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53102B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E6AA2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4BF4E56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75A2D">
              <w:rPr>
                <w:rFonts w:ascii="Times New Roman" w:eastAsia="Times New Roman" w:hAnsi="Times New Roman"/>
                <w:b/>
                <w:i/>
                <w:sz w:val="24"/>
                <w:szCs w:val="24"/>
                <w:highlight w:val="yellow"/>
              </w:rPr>
              <w:t>4</w:t>
            </w:r>
          </w:p>
        </w:tc>
        <w:tc>
          <w:tcPr>
            <w:tcW w:w="884" w:type="dxa"/>
            <w:shd w:val="clear" w:color="auto" w:fill="auto"/>
            <w:vAlign w:val="center"/>
          </w:tcPr>
          <w:p w14:paraId="0D1139B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3C20D6" w14:textId="050B6BE6" w:rsidR="00ED5AD5" w:rsidRPr="00A75A2D" w:rsidRDefault="00A75A2D" w:rsidP="00A75A2D">
      <w:pPr>
        <w:widowControl w:val="0"/>
        <w:spacing w:after="0" w:line="360" w:lineRule="auto"/>
        <w:ind w:left="510" w:right="62" w:hanging="3"/>
        <w:jc w:val="both"/>
        <w:rPr>
          <w:rFonts w:ascii="Times New Roman" w:eastAsia="Times New Roman" w:hAnsi="Times New Roman"/>
          <w:b/>
          <w:sz w:val="24"/>
          <w:szCs w:val="24"/>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4</w:t>
      </w:r>
      <w:r w:rsidRPr="00646481">
        <w:rPr>
          <w:rFonts w:ascii="Times New Roman" w:eastAsia="Times New Roman" w:hAnsi="Times New Roman"/>
          <w:b/>
          <w:bCs/>
          <w:noProof/>
          <w:color w:val="000000"/>
          <w:sz w:val="20"/>
          <w:szCs w:val="20"/>
        </w:rPr>
        <w:t xml:space="preserve">: </w:t>
      </w:r>
      <w:r w:rsidRPr="00A75A2D">
        <w:rPr>
          <w:rFonts w:ascii="Times New Roman" w:eastAsia="Times New Roman" w:hAnsi="Times New Roman"/>
          <w:noProof/>
          <w:color w:val="000000"/>
          <w:sz w:val="20"/>
          <w:szCs w:val="20"/>
        </w:rPr>
        <w:t>Kurumda öğrencilerin akademik gelişimi ve kariyer planlamasına ilişkin uygulamalar izlenmekte ve öğrencilerin katılımıyla iyileştirilmektedir. Bölümde 1. sınıftan itibaren her sınıf için bir akademik danışman atanmaktadır. Ayrıca öğretim elamanları tarafından görüşme saatleri belirlenmektedir. Dönem başında yeni kay</w:t>
      </w:r>
      <w:r>
        <w:rPr>
          <w:rFonts w:ascii="Times New Roman" w:eastAsia="Times New Roman" w:hAnsi="Times New Roman"/>
          <w:noProof/>
          <w:color w:val="000000"/>
          <w:sz w:val="20"/>
          <w:szCs w:val="20"/>
        </w:rPr>
        <w:t xml:space="preserve">ıt </w:t>
      </w:r>
      <w:r w:rsidRPr="00A75A2D">
        <w:rPr>
          <w:rFonts w:ascii="Times New Roman" w:eastAsia="Times New Roman" w:hAnsi="Times New Roman"/>
          <w:noProof/>
          <w:color w:val="000000"/>
          <w:sz w:val="20"/>
          <w:szCs w:val="20"/>
        </w:rPr>
        <w:t>yaptıran öğrencilere yönelik Danışman-Öğrenci Toplantısı yapılmıştır</w:t>
      </w:r>
      <w:r>
        <w:rPr>
          <w:rFonts w:ascii="Times New Roman" w:eastAsia="Times New Roman" w:hAnsi="Times New Roman"/>
          <w:noProof/>
          <w:color w:val="000000"/>
          <w:sz w:val="20"/>
          <w:szCs w:val="20"/>
        </w:rPr>
        <w:t>.</w:t>
      </w:r>
    </w:p>
    <w:p w14:paraId="03C47050"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D5D53B4" w14:textId="77777777" w:rsidTr="00EB1A4D">
        <w:tc>
          <w:tcPr>
            <w:tcW w:w="4722" w:type="dxa"/>
            <w:shd w:val="clear" w:color="auto" w:fill="auto"/>
            <w:vAlign w:val="center"/>
          </w:tcPr>
          <w:p w14:paraId="221553E1"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73F95A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0C725D0" w14:textId="77777777" w:rsidTr="00EB1A4D">
        <w:tc>
          <w:tcPr>
            <w:tcW w:w="4722" w:type="dxa"/>
            <w:shd w:val="clear" w:color="auto" w:fill="auto"/>
            <w:vAlign w:val="center"/>
          </w:tcPr>
          <w:p w14:paraId="1060FC08"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73B178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A5581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D58BBB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97A62">
              <w:rPr>
                <w:rFonts w:ascii="Times New Roman" w:eastAsia="Times New Roman" w:hAnsi="Times New Roman"/>
                <w:b/>
                <w:i/>
                <w:sz w:val="24"/>
                <w:szCs w:val="24"/>
                <w:highlight w:val="yellow"/>
              </w:rPr>
              <w:t>3</w:t>
            </w:r>
          </w:p>
        </w:tc>
        <w:tc>
          <w:tcPr>
            <w:tcW w:w="945" w:type="dxa"/>
            <w:shd w:val="clear" w:color="auto" w:fill="auto"/>
            <w:vAlign w:val="center"/>
          </w:tcPr>
          <w:p w14:paraId="102566A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5E081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0246F9"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2E795AC6" w14:textId="70DE634E" w:rsidR="00A75A2D" w:rsidRPr="00A75A2D" w:rsidRDefault="00A75A2D" w:rsidP="00A75A2D">
      <w:pPr>
        <w:widowControl w:val="0"/>
        <w:spacing w:after="0" w:line="360" w:lineRule="auto"/>
        <w:ind w:left="510" w:right="62" w:hanging="3"/>
        <w:jc w:val="both"/>
        <w:rPr>
          <w:rFonts w:ascii="Times New Roman" w:eastAsia="Times New Roman" w:hAnsi="Times New Roman"/>
          <w:sz w:val="24"/>
          <w:szCs w:val="24"/>
        </w:rPr>
      </w:pPr>
      <w:r w:rsidRPr="00646481">
        <w:rPr>
          <w:rFonts w:ascii="Times New Roman" w:eastAsia="Times New Roman" w:hAnsi="Times New Roman"/>
          <w:b/>
          <w:bCs/>
          <w:noProof/>
          <w:color w:val="000000"/>
          <w:sz w:val="20"/>
          <w:szCs w:val="20"/>
        </w:rPr>
        <w:t>Olgunluk Düzeyi</w:t>
      </w:r>
      <w:r>
        <w:rPr>
          <w:rFonts w:ascii="Times New Roman" w:eastAsia="Times New Roman" w:hAnsi="Times New Roman"/>
          <w:b/>
          <w:bCs/>
          <w:noProof/>
          <w:color w:val="000000"/>
          <w:sz w:val="20"/>
          <w:szCs w:val="20"/>
        </w:rPr>
        <w:t xml:space="preserve"> 3</w:t>
      </w:r>
      <w:r w:rsidRPr="00646481">
        <w:rPr>
          <w:rFonts w:ascii="Times New Roman" w:eastAsia="Times New Roman" w:hAnsi="Times New Roman"/>
          <w:b/>
          <w:bCs/>
          <w:noProof/>
          <w:color w:val="000000"/>
          <w:sz w:val="20"/>
          <w:szCs w:val="20"/>
        </w:rPr>
        <w:t xml:space="preserve"> : </w:t>
      </w:r>
      <w:r w:rsidRPr="00A75A2D">
        <w:rPr>
          <w:rFonts w:ascii="Times New Roman" w:eastAsia="Times New Roman" w:hAnsi="Times New Roman"/>
          <w:noProof/>
          <w:color w:val="000000"/>
          <w:sz w:val="20"/>
          <w:szCs w:val="20"/>
        </w:rPr>
        <w:t>Kurumun genelinde tesis ve altyapı erişilebilirdir ve bunlardan fırsat eşitliğine dayalı olarak yararlanılmaktadır. Fakültedeki derslikler ile bilgisayar laboratuvarı, kantin gibi diğer alanlar ortak kullanıma açık</w:t>
      </w:r>
      <w:r w:rsidR="00E97A62">
        <w:rPr>
          <w:rFonts w:ascii="Times New Roman" w:eastAsia="Times New Roman" w:hAnsi="Times New Roman"/>
          <w:noProof/>
          <w:color w:val="000000"/>
          <w:sz w:val="20"/>
          <w:szCs w:val="20"/>
        </w:rPr>
        <w:t>tır.</w:t>
      </w:r>
    </w:p>
    <w:p w14:paraId="009C312E" w14:textId="77777777" w:rsidR="00A75A2D" w:rsidRPr="005F024A" w:rsidRDefault="00A75A2D" w:rsidP="00A75A2D">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96990F4"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71EAB9F4"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51C0A674" w14:textId="77777777" w:rsidTr="00E97A62">
        <w:tc>
          <w:tcPr>
            <w:tcW w:w="4365" w:type="dxa"/>
            <w:shd w:val="clear" w:color="auto" w:fill="auto"/>
            <w:vAlign w:val="center"/>
          </w:tcPr>
          <w:p w14:paraId="54ECB343"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3" w:type="dxa"/>
            <w:gridSpan w:val="5"/>
            <w:shd w:val="clear" w:color="auto" w:fill="auto"/>
            <w:vAlign w:val="center"/>
          </w:tcPr>
          <w:p w14:paraId="17A5E1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0E9FF0B" w14:textId="77777777" w:rsidTr="00E97A62">
        <w:tc>
          <w:tcPr>
            <w:tcW w:w="4365" w:type="dxa"/>
            <w:shd w:val="clear" w:color="auto" w:fill="auto"/>
            <w:vAlign w:val="center"/>
          </w:tcPr>
          <w:p w14:paraId="66BE906C"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882" w:type="dxa"/>
            <w:shd w:val="clear" w:color="auto" w:fill="auto"/>
            <w:vAlign w:val="center"/>
          </w:tcPr>
          <w:p w14:paraId="37B768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1239C4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4D35F6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A4F4B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F0A805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4E9FAAA" w14:textId="77777777" w:rsidR="00E97A62" w:rsidRPr="00033902" w:rsidRDefault="00E97A62" w:rsidP="00E97A62">
      <w:pPr>
        <w:widowControl w:val="0"/>
        <w:spacing w:after="0" w:line="360" w:lineRule="auto"/>
        <w:ind w:left="510" w:right="62" w:hanging="3"/>
        <w:jc w:val="both"/>
        <w:rPr>
          <w:rFonts w:ascii="Times New Roman" w:eastAsia="Times New Roman" w:hAnsi="Times New Roman"/>
          <w:noProof/>
          <w:color w:val="000000"/>
          <w:sz w:val="20"/>
          <w:szCs w:val="20"/>
        </w:rPr>
      </w:pPr>
      <w:bookmarkStart w:id="0" w:name="_Hlk187234481"/>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bookmarkEnd w:id="0"/>
    <w:p w14:paraId="7BEA0B6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5CC385E4"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7DDF0CE" w14:textId="77777777" w:rsidTr="00EB1A4D">
        <w:tc>
          <w:tcPr>
            <w:tcW w:w="4722" w:type="dxa"/>
            <w:shd w:val="clear" w:color="auto" w:fill="auto"/>
            <w:vAlign w:val="center"/>
          </w:tcPr>
          <w:p w14:paraId="53F46D32"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lastRenderedPageBreak/>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30DEA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C1E87E" w14:textId="77777777" w:rsidTr="00EB1A4D">
        <w:tc>
          <w:tcPr>
            <w:tcW w:w="4722" w:type="dxa"/>
            <w:shd w:val="clear" w:color="auto" w:fill="auto"/>
            <w:vAlign w:val="center"/>
          </w:tcPr>
          <w:p w14:paraId="086BDF9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D6E36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20E8E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19506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97A62">
              <w:rPr>
                <w:rFonts w:ascii="Times New Roman" w:eastAsia="Times New Roman" w:hAnsi="Times New Roman"/>
                <w:b/>
                <w:i/>
                <w:sz w:val="24"/>
                <w:szCs w:val="24"/>
                <w:highlight w:val="yellow"/>
              </w:rPr>
              <w:t>3</w:t>
            </w:r>
          </w:p>
        </w:tc>
        <w:tc>
          <w:tcPr>
            <w:tcW w:w="945" w:type="dxa"/>
            <w:shd w:val="clear" w:color="auto" w:fill="auto"/>
            <w:vAlign w:val="center"/>
          </w:tcPr>
          <w:p w14:paraId="6D2513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264A95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C00FAD8"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535F21A8" w14:textId="628F5275" w:rsidR="00E97A62" w:rsidRPr="00646481" w:rsidRDefault="00E97A62" w:rsidP="00E97A62">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Bilişim Sistemleri ve Teknoloji bölümü</w:t>
      </w:r>
      <w:r w:rsidRPr="00646481">
        <w:rPr>
          <w:rFonts w:ascii="Times New Roman" w:eastAsia="Times New Roman" w:hAnsi="Times New Roman"/>
          <w:noProof/>
          <w:color w:val="000000"/>
          <w:sz w:val="20"/>
          <w:szCs w:val="20"/>
        </w:rPr>
        <w:t xml:space="preserve"> Öğretim Elemanlarının ve öğrenci kulüplerinin yapmayı planladıkları her türlü etkinlik ve organizasyon başvuruları OGRİS üzerinden elektronik olarak gerçekleştirilmektedir. Bunun yanı sıra </w:t>
      </w: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faaliyet göstermektedir. Öğrenci kulüpleri faaliyetlerini üniversitemizin Öğrenci Kulüpleri Yönergesine göre yürütmektedir. Bu kulüpler dönem başında programlarını bildirerek, belirledikleri programlar doğrultusunda faaliyetler göstermektedir. Kulüpler programları dâhilinde gerçekleştirdikleri etkinlikler aracılığıyla üniversite içi ve dışı sosyal hayata katkıda bulunmaktadırlar. </w:t>
      </w:r>
    </w:p>
    <w:p w14:paraId="7CA41ED6"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F3FE703"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118E2DE4"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16834877"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457FBF64"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50DE4814"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39F149CB" w14:textId="77777777" w:rsidTr="00E97A62">
        <w:tc>
          <w:tcPr>
            <w:tcW w:w="4371" w:type="dxa"/>
            <w:shd w:val="clear" w:color="auto" w:fill="auto"/>
            <w:vAlign w:val="center"/>
          </w:tcPr>
          <w:p w14:paraId="7A7FFE8E"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1B557E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96BE645" w14:textId="77777777" w:rsidTr="00E97A62">
        <w:tc>
          <w:tcPr>
            <w:tcW w:w="4371" w:type="dxa"/>
            <w:shd w:val="clear" w:color="auto" w:fill="auto"/>
            <w:vAlign w:val="center"/>
          </w:tcPr>
          <w:p w14:paraId="78A8B23B"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14:paraId="7ACA78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14:paraId="4471EC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vAlign w:val="center"/>
          </w:tcPr>
          <w:p w14:paraId="61816E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97A62">
              <w:rPr>
                <w:rFonts w:ascii="Times New Roman" w:eastAsia="Times New Roman" w:hAnsi="Times New Roman"/>
                <w:b/>
                <w:i/>
                <w:sz w:val="24"/>
                <w:szCs w:val="24"/>
                <w:highlight w:val="yellow"/>
              </w:rPr>
              <w:t>3</w:t>
            </w:r>
          </w:p>
        </w:tc>
        <w:tc>
          <w:tcPr>
            <w:tcW w:w="882" w:type="dxa"/>
            <w:shd w:val="clear" w:color="auto" w:fill="auto"/>
            <w:vAlign w:val="center"/>
          </w:tcPr>
          <w:p w14:paraId="3D7BEB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2" w:type="dxa"/>
            <w:shd w:val="clear" w:color="auto" w:fill="auto"/>
            <w:vAlign w:val="center"/>
          </w:tcPr>
          <w:p w14:paraId="561973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3B4F18D" w14:textId="5F953C1F" w:rsidR="00E97A62" w:rsidRPr="00646481" w:rsidRDefault="00E97A62" w:rsidP="00E97A62">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Üniversitemizde öğretim üyeliğine atama ve yükseltme ölçütleri tanımlıdır. Düzenli olarak güncellenmekte ve kamuoyuna açık raporlar ve ağ sayfamız aracılığıyla yayınlanmaktadır. </w:t>
      </w:r>
      <w:r>
        <w:rPr>
          <w:rFonts w:ascii="Times New Roman" w:eastAsia="Times New Roman" w:hAnsi="Times New Roman"/>
          <w:noProof/>
          <w:color w:val="000000"/>
          <w:sz w:val="20"/>
          <w:szCs w:val="20"/>
        </w:rPr>
        <w:t>Bilişim Sistemleri ve Teknoloji bölümü</w:t>
      </w:r>
      <w:r w:rsidRPr="00646481">
        <w:rPr>
          <w:rFonts w:ascii="Times New Roman" w:eastAsia="Times New Roman" w:hAnsi="Times New Roman"/>
          <w:noProof/>
          <w:color w:val="000000"/>
          <w:sz w:val="20"/>
          <w:szCs w:val="20"/>
        </w:rPr>
        <w:t xml:space="preserve"> tarafından ihtiyaç duyulan kadrolar öğrenci sayısı, öğretim kalitesi, araştırma olanakları ve değişen ihtiyaçlar açısından değerlendirilerek, </w:t>
      </w:r>
      <w:r>
        <w:rPr>
          <w:rFonts w:ascii="Times New Roman" w:eastAsia="Times New Roman" w:hAnsi="Times New Roman"/>
          <w:noProof/>
          <w:color w:val="000000"/>
          <w:sz w:val="20"/>
          <w:szCs w:val="20"/>
        </w:rPr>
        <w:t>Dekanlık</w:t>
      </w:r>
      <w:r w:rsidRPr="00646481">
        <w:rPr>
          <w:rFonts w:ascii="Times New Roman" w:eastAsia="Times New Roman" w:hAnsi="Times New Roman"/>
          <w:noProof/>
          <w:color w:val="000000"/>
          <w:sz w:val="20"/>
          <w:szCs w:val="20"/>
        </w:rPr>
        <w:t xml:space="preserve"> Makamına bildirilmektedir. </w:t>
      </w:r>
      <w:r>
        <w:rPr>
          <w:rFonts w:ascii="Times New Roman" w:eastAsia="Times New Roman" w:hAnsi="Times New Roman"/>
          <w:noProof/>
          <w:color w:val="000000"/>
          <w:sz w:val="20"/>
          <w:szCs w:val="20"/>
        </w:rPr>
        <w:t>Bölüm</w:t>
      </w:r>
      <w:r w:rsidRPr="00646481">
        <w:rPr>
          <w:rFonts w:ascii="Times New Roman" w:eastAsia="Times New Roman" w:hAnsi="Times New Roman"/>
          <w:noProof/>
          <w:color w:val="000000"/>
          <w:sz w:val="20"/>
          <w:szCs w:val="20"/>
        </w:rPr>
        <w:t xml:space="preserve"> atama, yükseltme ve görevlendirme kriterlerinde Üniversitemiz Öğretim Üyeliğine Yükseltilme ve Atanma Yönetmeliği’ne bağlıdır.</w:t>
      </w:r>
    </w:p>
    <w:p w14:paraId="6FA3722E" w14:textId="77777777" w:rsidR="00E97A62" w:rsidRPr="00646481" w:rsidRDefault="00E97A62" w:rsidP="00E97A62">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Yönetmeliği     : </w:t>
      </w:r>
      <w:hyperlink r:id="rId14" w:history="1">
        <w:r w:rsidRPr="00646481">
          <w:rPr>
            <w:rStyle w:val="Kpr"/>
            <w:rFonts w:ascii="Times New Roman" w:hAnsi="Times New Roman"/>
            <w:sz w:val="20"/>
            <w:szCs w:val="20"/>
          </w:rPr>
          <w:t>https://www.mevzuat.gov.tr/mevzuat?MevzuatNo=24672&amp;MevzuatTur=7&amp;MevzuatTertip=5</w:t>
        </w:r>
      </w:hyperlink>
    </w:p>
    <w:p w14:paraId="6C60453F" w14:textId="77777777" w:rsidR="00E97A62" w:rsidRDefault="00E97A62" w:rsidP="00E97A62">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Öğretim Üyeliğine Yükseltilme ve Atanma Yönergesi         :</w:t>
      </w:r>
    </w:p>
    <w:p w14:paraId="444D6983" w14:textId="77777777" w:rsidR="00E97A62" w:rsidRPr="00646481" w:rsidRDefault="00E97A62" w:rsidP="00E97A62">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15" w:history="1">
        <w:r>
          <w:rPr>
            <w:rStyle w:val="Kpr"/>
            <w:rFonts w:ascii="Times New Roman" w:hAnsi="Times New Roman"/>
            <w:sz w:val="20"/>
            <w:szCs w:val="20"/>
          </w:rPr>
          <w:t>Üyelik yükseltme ve atanma yönergesi</w:t>
        </w:r>
      </w:hyperlink>
    </w:p>
    <w:p w14:paraId="68D5A885" w14:textId="77777777" w:rsidR="00E97A62" w:rsidRPr="00646481" w:rsidRDefault="00E97A62" w:rsidP="00E97A62">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Üyesi Dışındaki Öğretim Elemanı Kadrolarına Atanan Akademik Personelin </w:t>
      </w:r>
    </w:p>
    <w:p w14:paraId="67AEDFAA" w14:textId="77777777" w:rsidR="00E97A62" w:rsidRDefault="00E97A62" w:rsidP="00E97A62">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Yeniden Atanmasına İlişkin Usul ve Esaslar                          :</w:t>
      </w:r>
    </w:p>
    <w:p w14:paraId="3AC7656F" w14:textId="77777777" w:rsidR="00E97A62" w:rsidRPr="00646481" w:rsidRDefault="00E97A62" w:rsidP="00E97A62">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16" w:history="1">
        <w:r>
          <w:rPr>
            <w:rStyle w:val="Kpr"/>
            <w:rFonts w:ascii="Times New Roman" w:hAnsi="Times New Roman"/>
            <w:sz w:val="20"/>
            <w:szCs w:val="20"/>
          </w:rPr>
          <w:t xml:space="preserve">Öğretim Üyesi Dışındaki Öğretim Elemanı Kadrolarına Atanan Akademik Personelin </w:t>
        </w:r>
      </w:hyperlink>
      <w:r w:rsidRPr="00646481">
        <w:rPr>
          <w:rFonts w:ascii="Times New Roman" w:hAnsi="Times New Roman"/>
          <w:sz w:val="20"/>
          <w:szCs w:val="20"/>
        </w:rPr>
        <w:t xml:space="preserve"> </w:t>
      </w:r>
    </w:p>
    <w:p w14:paraId="0E8B23A7" w14:textId="77777777" w:rsidR="00E97A62" w:rsidRDefault="00E97A62" w:rsidP="00E97A62">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 xml:space="preserve">Akademik Değerlendirme Ayrıntılı Örnek Puan Tablosu     : </w:t>
      </w:r>
    </w:p>
    <w:p w14:paraId="0AE3665C" w14:textId="77777777" w:rsidR="00E97A62" w:rsidRPr="00646481" w:rsidRDefault="00E97A62" w:rsidP="00E97A62">
      <w:pPr>
        <w:widowControl w:val="0"/>
        <w:spacing w:after="0" w:line="360" w:lineRule="auto"/>
        <w:ind w:left="510" w:right="62"/>
        <w:jc w:val="both"/>
        <w:rPr>
          <w:rFonts w:ascii="Times New Roman" w:hAnsi="Times New Roman"/>
          <w:sz w:val="20"/>
          <w:szCs w:val="20"/>
        </w:rPr>
      </w:pPr>
      <w:hyperlink r:id="rId17" w:history="1">
        <w:r>
          <w:rPr>
            <w:rStyle w:val="Kpr"/>
            <w:rFonts w:ascii="Times New Roman" w:hAnsi="Times New Roman"/>
            <w:sz w:val="20"/>
            <w:szCs w:val="20"/>
          </w:rPr>
          <w:t>Akademik Değerlendirme Ayrıntılı Örnek Puan Tablosu</w:t>
        </w:r>
      </w:hyperlink>
      <w:r w:rsidRPr="00646481">
        <w:rPr>
          <w:rFonts w:ascii="Times New Roman" w:hAnsi="Times New Roman"/>
          <w:sz w:val="20"/>
          <w:szCs w:val="20"/>
        </w:rPr>
        <w:t xml:space="preserve">      </w:t>
      </w:r>
    </w:p>
    <w:p w14:paraId="2B6DA7FB"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34775816" w14:textId="77777777" w:rsidTr="00E97A62">
        <w:tc>
          <w:tcPr>
            <w:tcW w:w="4360" w:type="dxa"/>
            <w:shd w:val="clear" w:color="auto" w:fill="auto"/>
            <w:vAlign w:val="center"/>
          </w:tcPr>
          <w:p w14:paraId="28D20387"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1BDE267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3C6C1D" w14:textId="77777777" w:rsidTr="00E97A62">
        <w:tc>
          <w:tcPr>
            <w:tcW w:w="4360" w:type="dxa"/>
            <w:shd w:val="clear" w:color="auto" w:fill="auto"/>
            <w:vAlign w:val="center"/>
          </w:tcPr>
          <w:p w14:paraId="617B1331"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14:paraId="499C186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04617D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1DBBF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97A62">
              <w:rPr>
                <w:rFonts w:ascii="Times New Roman" w:eastAsia="Times New Roman" w:hAnsi="Times New Roman"/>
                <w:b/>
                <w:i/>
                <w:sz w:val="24"/>
                <w:szCs w:val="24"/>
                <w:highlight w:val="yellow"/>
              </w:rPr>
              <w:t>3</w:t>
            </w:r>
          </w:p>
        </w:tc>
        <w:tc>
          <w:tcPr>
            <w:tcW w:w="884" w:type="dxa"/>
            <w:shd w:val="clear" w:color="auto" w:fill="auto"/>
            <w:vAlign w:val="center"/>
          </w:tcPr>
          <w:p w14:paraId="2EC0E6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394BE27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0840EC5" w14:textId="5D32CFF0" w:rsidR="00E97A62" w:rsidRPr="00646481" w:rsidRDefault="00E97A62" w:rsidP="00E97A62">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Pr>
          <w:rFonts w:ascii="Times New Roman" w:eastAsia="Times New Roman" w:hAnsi="Times New Roman"/>
          <w:noProof/>
          <w:color w:val="000000"/>
          <w:sz w:val="20"/>
          <w:szCs w:val="20"/>
        </w:rPr>
        <w:t>Bilişim Sistemleri ve Teknoloji bölümünde</w:t>
      </w:r>
      <w:r w:rsidRPr="00646481">
        <w:rPr>
          <w:rFonts w:ascii="Times New Roman" w:eastAsia="Times New Roman" w:hAnsi="Times New Roman"/>
          <w:noProof/>
          <w:color w:val="000000"/>
          <w:sz w:val="20"/>
          <w:szCs w:val="20"/>
        </w:rPr>
        <w:t xml:space="preserve"> eğitici</w:t>
      </w:r>
      <w:r>
        <w:rPr>
          <w:rFonts w:ascii="Times New Roman" w:eastAsia="Times New Roman" w:hAnsi="Times New Roman"/>
          <w:noProof/>
          <w:color w:val="000000"/>
          <w:sz w:val="20"/>
          <w:szCs w:val="20"/>
        </w:rPr>
        <w:t>nin</w:t>
      </w:r>
      <w:r w:rsidRPr="00646481">
        <w:rPr>
          <w:rFonts w:ascii="Times New Roman" w:eastAsia="Times New Roman" w:hAnsi="Times New Roman"/>
          <w:noProof/>
          <w:color w:val="000000"/>
          <w:sz w:val="20"/>
          <w:szCs w:val="20"/>
        </w:rPr>
        <w:t xml:space="preserve">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14:paraId="3C0C6FCC"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0705753" w14:textId="77777777" w:rsidTr="00E97A62">
        <w:tc>
          <w:tcPr>
            <w:tcW w:w="4365" w:type="dxa"/>
            <w:shd w:val="clear" w:color="auto" w:fill="auto"/>
            <w:vAlign w:val="center"/>
          </w:tcPr>
          <w:p w14:paraId="4429C817"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11EDF2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1DD124" w14:textId="77777777" w:rsidTr="00E97A62">
        <w:tc>
          <w:tcPr>
            <w:tcW w:w="4365" w:type="dxa"/>
            <w:shd w:val="clear" w:color="auto" w:fill="auto"/>
            <w:vAlign w:val="center"/>
          </w:tcPr>
          <w:p w14:paraId="20D30716"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5AC39B4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1D27D2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1BBB849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E97A62">
              <w:rPr>
                <w:rFonts w:ascii="Times New Roman" w:eastAsia="Times New Roman" w:hAnsi="Times New Roman"/>
                <w:b/>
                <w:i/>
                <w:sz w:val="24"/>
                <w:szCs w:val="24"/>
                <w:highlight w:val="yellow"/>
              </w:rPr>
              <w:t>3</w:t>
            </w:r>
          </w:p>
        </w:tc>
        <w:tc>
          <w:tcPr>
            <w:tcW w:w="883" w:type="dxa"/>
            <w:shd w:val="clear" w:color="auto" w:fill="auto"/>
            <w:vAlign w:val="center"/>
          </w:tcPr>
          <w:p w14:paraId="03DADD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7E6B15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1C47D48" w14:textId="7F9B73FB" w:rsidR="00E97A62" w:rsidRDefault="00E97A62" w:rsidP="00E97A62">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Pr>
          <w:rFonts w:ascii="Times New Roman" w:eastAsia="Times New Roman" w:hAnsi="Times New Roman"/>
          <w:noProof/>
          <w:color w:val="000000"/>
          <w:sz w:val="20"/>
          <w:szCs w:val="20"/>
        </w:rPr>
        <w:t>Bilişim Sistemleri ve Teknoloji bölümünde</w:t>
      </w:r>
      <w:r w:rsidRPr="00646481">
        <w:rPr>
          <w:rFonts w:ascii="Times New Roman" w:eastAsia="Times New Roman" w:hAnsi="Times New Roman"/>
          <w:noProof/>
          <w:color w:val="000000"/>
          <w:sz w:val="20"/>
          <w:szCs w:val="20"/>
        </w:rPr>
        <w:t xml:space="preserv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Bu yönergeye uygun olarak AKAPEDİA platformunda yer alan Ödül Modülünden öğretim elemanları başvuruda bulunabilmektedir. Ödüller Bilim/Sanat İnsanı Ödülü, Makale Performans Ödülü, Genç Bilim/Sanat İnsanı Ödülü, Proje Performans Ödülü, Öncelikli Alana Katkı Ödülü ve Patent Ödülü kategorilerinde verilmektedir. </w:t>
      </w:r>
      <w:r>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de eğitim faaliyetlerine yönelik teşvik ve ödüllendirme mekanizması olarak bu imkandan yararlanabilmektedir</w:t>
      </w:r>
      <w:r>
        <w:rPr>
          <w:rFonts w:ascii="Times New Roman" w:eastAsia="Times New Roman" w:hAnsi="Times New Roman"/>
          <w:noProof/>
          <w:color w:val="000000"/>
          <w:sz w:val="20"/>
          <w:szCs w:val="20"/>
        </w:rPr>
        <w:t>.</w:t>
      </w:r>
    </w:p>
    <w:p w14:paraId="2BED30B7"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45729FD7"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596AE042"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742A260E"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1002DE60"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5919C2F1"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473DCB34" w14:textId="77777777" w:rsidTr="00E97A62">
        <w:tc>
          <w:tcPr>
            <w:tcW w:w="4364" w:type="dxa"/>
            <w:shd w:val="clear" w:color="auto" w:fill="auto"/>
            <w:vAlign w:val="center"/>
          </w:tcPr>
          <w:p w14:paraId="4C588EFC"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14:paraId="7C7247E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84E8B" w14:textId="77777777" w:rsidTr="00E97A62">
        <w:tc>
          <w:tcPr>
            <w:tcW w:w="4364" w:type="dxa"/>
            <w:shd w:val="clear" w:color="auto" w:fill="auto"/>
            <w:vAlign w:val="center"/>
          </w:tcPr>
          <w:p w14:paraId="28A952A6"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auto"/>
            <w:vAlign w:val="center"/>
          </w:tcPr>
          <w:p w14:paraId="02D46C1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A439A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7E8FD805" w14:textId="77777777" w:rsidR="00ED5AD5" w:rsidRPr="007679F3" w:rsidRDefault="00ED5AD5" w:rsidP="00EB1A4D">
            <w:pPr>
              <w:widowControl w:val="0"/>
              <w:spacing w:after="0" w:line="360" w:lineRule="auto"/>
              <w:ind w:right="62"/>
              <w:jc w:val="center"/>
              <w:rPr>
                <w:rFonts w:ascii="Times New Roman" w:eastAsia="Times New Roman" w:hAnsi="Times New Roman"/>
                <w:b/>
                <w:i/>
                <w:sz w:val="24"/>
                <w:szCs w:val="24"/>
                <w:highlight w:val="yellow"/>
              </w:rPr>
            </w:pPr>
            <w:r w:rsidRPr="007679F3">
              <w:rPr>
                <w:rFonts w:ascii="Times New Roman" w:eastAsia="Times New Roman" w:hAnsi="Times New Roman"/>
                <w:b/>
                <w:i/>
                <w:sz w:val="24"/>
                <w:szCs w:val="24"/>
                <w:highlight w:val="yellow"/>
              </w:rPr>
              <w:t>3</w:t>
            </w:r>
          </w:p>
        </w:tc>
        <w:tc>
          <w:tcPr>
            <w:tcW w:w="883" w:type="dxa"/>
            <w:shd w:val="clear" w:color="auto" w:fill="auto"/>
            <w:vAlign w:val="center"/>
          </w:tcPr>
          <w:p w14:paraId="6F5F3E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3E37EE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9F02E" w14:textId="7321C636" w:rsidR="00ED5AD5" w:rsidRDefault="00E97A62" w:rsidP="007679F3">
      <w:pPr>
        <w:widowControl w:val="0"/>
        <w:spacing w:after="0" w:line="360" w:lineRule="auto"/>
        <w:ind w:left="510" w:right="62" w:hanging="3"/>
        <w:jc w:val="both"/>
        <w:rPr>
          <w:rFonts w:ascii="Times New Roman" w:eastAsia="Times New Roman" w:hAnsi="Times New Roman"/>
          <w:b/>
          <w:sz w:val="24"/>
          <w:szCs w:val="24"/>
        </w:rPr>
      </w:pPr>
      <w:r w:rsidRPr="00C54545">
        <w:rPr>
          <w:rFonts w:ascii="Times New Roman" w:eastAsia="Times New Roman" w:hAnsi="Times New Roman"/>
          <w:b/>
          <w:bCs/>
          <w:noProof/>
          <w:color w:val="000000"/>
          <w:sz w:val="20"/>
          <w:szCs w:val="20"/>
        </w:rPr>
        <w:t xml:space="preserve">Olgunluk Düzeyi </w:t>
      </w:r>
      <w:r w:rsidR="007679F3">
        <w:rPr>
          <w:rFonts w:ascii="Times New Roman" w:eastAsia="Times New Roman" w:hAnsi="Times New Roman"/>
          <w:b/>
          <w:bCs/>
          <w:noProof/>
          <w:color w:val="000000"/>
          <w:sz w:val="20"/>
          <w:szCs w:val="20"/>
        </w:rPr>
        <w:t>3</w:t>
      </w:r>
      <w:r w:rsidRPr="00C54545">
        <w:rPr>
          <w:rFonts w:ascii="Times New Roman" w:eastAsia="Times New Roman" w:hAnsi="Times New Roman"/>
          <w:b/>
          <w:bCs/>
          <w:noProof/>
          <w:color w:val="000000"/>
          <w:sz w:val="20"/>
          <w:szCs w:val="20"/>
        </w:rPr>
        <w:t xml:space="preserve">: </w:t>
      </w:r>
      <w:r w:rsidR="007679F3" w:rsidRPr="007679F3">
        <w:rPr>
          <w:rFonts w:ascii="Times New Roman" w:eastAsia="Times New Roman" w:hAnsi="Times New Roman"/>
          <w:noProof/>
          <w:color w:val="000000"/>
          <w:sz w:val="20"/>
          <w:szCs w:val="20"/>
        </w:rPr>
        <w:t>Kurumun genelinde araştırma süreçlerin yönetimi ve organizasyonel yapısı kurumsal tercihler yönünde uygulanmaktadır. Bölümde araştırma süreçlerinin yönetimi BAP ve TÜBİTAK ile diğer kurum ve kuruluşların yapısında belirtilen süreçlere göre yürütülmektedir.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F643ABB" w14:textId="77777777" w:rsidTr="007679F3">
        <w:tc>
          <w:tcPr>
            <w:tcW w:w="4364" w:type="dxa"/>
            <w:shd w:val="clear" w:color="auto" w:fill="auto"/>
            <w:vAlign w:val="center"/>
          </w:tcPr>
          <w:p w14:paraId="72BFEBB3"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C.1. Araştırma Süreçlerinin Yönetimi ve Araştırma Kaynakları</w:t>
            </w:r>
          </w:p>
        </w:tc>
        <w:tc>
          <w:tcPr>
            <w:tcW w:w="4414" w:type="dxa"/>
            <w:gridSpan w:val="5"/>
            <w:shd w:val="clear" w:color="auto" w:fill="auto"/>
            <w:vAlign w:val="center"/>
          </w:tcPr>
          <w:p w14:paraId="47C22D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874B345" w14:textId="77777777" w:rsidTr="007679F3">
        <w:tc>
          <w:tcPr>
            <w:tcW w:w="4364" w:type="dxa"/>
            <w:shd w:val="clear" w:color="auto" w:fill="auto"/>
            <w:vAlign w:val="center"/>
          </w:tcPr>
          <w:p w14:paraId="432E24A6"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883" w:type="dxa"/>
            <w:shd w:val="clear" w:color="auto" w:fill="auto"/>
            <w:vAlign w:val="center"/>
          </w:tcPr>
          <w:p w14:paraId="5C40D2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3DE92A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351D31E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7679F3">
              <w:rPr>
                <w:rFonts w:ascii="Times New Roman" w:eastAsia="Times New Roman" w:hAnsi="Times New Roman"/>
                <w:b/>
                <w:i/>
                <w:sz w:val="24"/>
                <w:szCs w:val="24"/>
                <w:highlight w:val="yellow"/>
              </w:rPr>
              <w:t>3</w:t>
            </w:r>
          </w:p>
        </w:tc>
        <w:tc>
          <w:tcPr>
            <w:tcW w:w="883" w:type="dxa"/>
            <w:shd w:val="clear" w:color="auto" w:fill="auto"/>
            <w:vAlign w:val="center"/>
          </w:tcPr>
          <w:p w14:paraId="3C1137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7B83558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00E43E5" w14:textId="7764DA90" w:rsidR="00ED5AD5" w:rsidRPr="007679F3" w:rsidRDefault="007679F3" w:rsidP="007679F3">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ED614F">
        <w:rPr>
          <w:rFonts w:ascii="Times New Roman" w:eastAsia="Times New Roman" w:hAnsi="Times New Roman"/>
          <w:noProof/>
          <w:color w:val="000000"/>
          <w:sz w:val="20"/>
          <w:szCs w:val="20"/>
        </w:rPr>
        <w:t xml:space="preserve"> araştırma ve geliştirme kaynaklarından yararlanmaktadır.</w:t>
      </w:r>
      <w:bookmarkStart w:id="1" w:name="_Hlk187234503"/>
      <w:r w:rsidRPr="007679F3">
        <w:rPr>
          <w:rFonts w:ascii="Times New Roman" w:eastAsia="Times New Roman" w:hAnsi="Times New Roman"/>
          <w:b/>
          <w:bCs/>
          <w:noProof/>
          <w:color w:val="000000"/>
          <w:sz w:val="20"/>
          <w:szCs w:val="20"/>
        </w:rPr>
        <w:t xml:space="preserve"> </w:t>
      </w:r>
      <w:r>
        <w:rPr>
          <w:rFonts w:ascii="Times New Roman" w:eastAsia="Times New Roman" w:hAnsi="Times New Roman"/>
          <w:noProof/>
          <w:color w:val="000000"/>
          <w:sz w:val="20"/>
          <w:szCs w:val="20"/>
        </w:rPr>
        <w:t>Bölümde</w:t>
      </w:r>
      <w:r w:rsidRPr="00ED614F">
        <w:rPr>
          <w:rFonts w:ascii="Times New Roman" w:eastAsia="Times New Roman" w:hAnsi="Times New Roman"/>
          <w:noProof/>
          <w:color w:val="000000"/>
          <w:sz w:val="20"/>
          <w:szCs w:val="20"/>
        </w:rPr>
        <w:t xml:space="preserve"> araştırma ve geliştirme kaynaklarından yararlanmaktadır.</w:t>
      </w:r>
      <w:r w:rsidRPr="00740113">
        <w:t xml:space="preserve"> </w:t>
      </w:r>
      <w:r w:rsidRPr="00740113">
        <w:rPr>
          <w:rFonts w:ascii="Times New Roman" w:eastAsia="Times New Roman" w:hAnsi="Times New Roman"/>
          <w:noProof/>
          <w:color w:val="000000"/>
          <w:sz w:val="20"/>
          <w:szCs w:val="20"/>
        </w:rPr>
        <w:t>Bölüm bazında dış kaynaklı bir proje bulunmamaktadır. Bu durum gelişmeye açık yön olarak değerlendirilmektedir.</w:t>
      </w:r>
      <w:bookmarkEnd w:id="1"/>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54521D77" w14:textId="77777777" w:rsidTr="007679F3">
        <w:tc>
          <w:tcPr>
            <w:tcW w:w="4364" w:type="dxa"/>
            <w:shd w:val="clear" w:color="auto" w:fill="auto"/>
            <w:vAlign w:val="center"/>
          </w:tcPr>
          <w:p w14:paraId="2E4F7C56"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14:paraId="3A61C86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2A0606" w14:textId="77777777" w:rsidTr="007679F3">
        <w:tc>
          <w:tcPr>
            <w:tcW w:w="4364" w:type="dxa"/>
            <w:shd w:val="clear" w:color="auto" w:fill="auto"/>
            <w:vAlign w:val="center"/>
          </w:tcPr>
          <w:p w14:paraId="6D413658"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883" w:type="dxa"/>
            <w:shd w:val="clear" w:color="auto" w:fill="auto"/>
            <w:vAlign w:val="center"/>
          </w:tcPr>
          <w:p w14:paraId="79CEBF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0B8959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F3F0F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13843A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0688CCE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314A3B" w14:textId="77777777" w:rsidR="007679F3" w:rsidRPr="00033902" w:rsidRDefault="007679F3" w:rsidP="007679F3">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6C35E5E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6AC29574"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5EC73C2"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2DEF6225" w14:textId="77777777" w:rsidTr="007679F3">
        <w:tc>
          <w:tcPr>
            <w:tcW w:w="4356" w:type="dxa"/>
            <w:shd w:val="clear" w:color="auto" w:fill="auto"/>
            <w:vAlign w:val="center"/>
          </w:tcPr>
          <w:p w14:paraId="1B21B38B"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76F19BB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5D960CE" w14:textId="77777777" w:rsidTr="007679F3">
        <w:tc>
          <w:tcPr>
            <w:tcW w:w="4356" w:type="dxa"/>
            <w:shd w:val="clear" w:color="auto" w:fill="auto"/>
            <w:vAlign w:val="center"/>
          </w:tcPr>
          <w:p w14:paraId="5394F4C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147FD0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067F3BB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14:paraId="5A229B9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7CB8E8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5CC893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F6384D1" w14:textId="6C1F008D" w:rsidR="00ED5AD5" w:rsidRPr="0045477A"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3AFE593F" w14:textId="77777777" w:rsidTr="0045477A">
        <w:tc>
          <w:tcPr>
            <w:tcW w:w="4355" w:type="dxa"/>
            <w:shd w:val="clear" w:color="auto" w:fill="auto"/>
            <w:vAlign w:val="center"/>
          </w:tcPr>
          <w:p w14:paraId="37EB38CB"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3" w:type="dxa"/>
            <w:gridSpan w:val="5"/>
            <w:shd w:val="clear" w:color="auto" w:fill="auto"/>
            <w:vAlign w:val="center"/>
          </w:tcPr>
          <w:p w14:paraId="55EE88A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3FFBDE9" w14:textId="77777777" w:rsidTr="0045477A">
        <w:tc>
          <w:tcPr>
            <w:tcW w:w="4355" w:type="dxa"/>
            <w:shd w:val="clear" w:color="auto" w:fill="auto"/>
            <w:vAlign w:val="center"/>
          </w:tcPr>
          <w:p w14:paraId="4AB29E27"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884" w:type="dxa"/>
            <w:shd w:val="clear" w:color="auto" w:fill="auto"/>
            <w:vAlign w:val="center"/>
          </w:tcPr>
          <w:p w14:paraId="416A16F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1DFF983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14:paraId="717F15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337AE0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0C0EEF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25520F" w14:textId="4E306ACF" w:rsidR="00ED5AD5" w:rsidRPr="0045477A"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33C9EF0E"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64E4AB40"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317DB90C" w14:textId="77777777" w:rsidTr="0045477A">
        <w:tc>
          <w:tcPr>
            <w:tcW w:w="4376" w:type="dxa"/>
            <w:shd w:val="clear" w:color="auto" w:fill="auto"/>
            <w:vAlign w:val="center"/>
          </w:tcPr>
          <w:p w14:paraId="338A94D0"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14:paraId="667BAB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2A8A9DB" w14:textId="77777777" w:rsidTr="0045477A">
        <w:tc>
          <w:tcPr>
            <w:tcW w:w="4376" w:type="dxa"/>
            <w:shd w:val="clear" w:color="auto" w:fill="auto"/>
            <w:vAlign w:val="center"/>
          </w:tcPr>
          <w:p w14:paraId="3F30C0D3"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14:paraId="4C6232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6E40B5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14:paraId="437C143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0A20A6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219E582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8920A9" w14:textId="387CAA5A" w:rsidR="00ED5AD5" w:rsidRPr="0045477A"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5C6C3997" w14:textId="77777777" w:rsidTr="0045477A">
        <w:tc>
          <w:tcPr>
            <w:tcW w:w="4390" w:type="dxa"/>
            <w:shd w:val="clear" w:color="auto" w:fill="auto"/>
            <w:vAlign w:val="center"/>
          </w:tcPr>
          <w:p w14:paraId="46B6AEA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69577D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1C8B2E6" w14:textId="77777777" w:rsidTr="0045477A">
        <w:tc>
          <w:tcPr>
            <w:tcW w:w="4390" w:type="dxa"/>
            <w:shd w:val="clear" w:color="auto" w:fill="auto"/>
            <w:vAlign w:val="center"/>
          </w:tcPr>
          <w:p w14:paraId="3EEA4B0B"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3D4DC22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6B1D63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auto"/>
            <w:vAlign w:val="center"/>
          </w:tcPr>
          <w:p w14:paraId="6187941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2948EEC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6DFD19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83E238" w14:textId="1692092B" w:rsidR="00ED5AD5" w:rsidRPr="0045477A"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7D8A4ED0"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3DFE84EA"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683DC884"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542630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7EDE76D5"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17C47D86" w14:textId="77777777" w:rsidTr="0045477A">
        <w:tc>
          <w:tcPr>
            <w:tcW w:w="4364" w:type="dxa"/>
            <w:shd w:val="clear" w:color="auto" w:fill="auto"/>
            <w:vAlign w:val="center"/>
          </w:tcPr>
          <w:p w14:paraId="3781C16A"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07E5D90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78F635" w14:textId="77777777" w:rsidTr="0045477A">
        <w:tc>
          <w:tcPr>
            <w:tcW w:w="4364" w:type="dxa"/>
            <w:shd w:val="clear" w:color="auto" w:fill="auto"/>
            <w:vAlign w:val="center"/>
          </w:tcPr>
          <w:p w14:paraId="68104130"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52A1C18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28A31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AA87C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1CC791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F1EC5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B766E70" w14:textId="77777777" w:rsidR="0045477A" w:rsidRPr="00033902"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1D8A1B3C"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69CD38E" w14:textId="77777777" w:rsidTr="0045477A">
        <w:tc>
          <w:tcPr>
            <w:tcW w:w="4364" w:type="dxa"/>
            <w:shd w:val="clear" w:color="auto" w:fill="auto"/>
            <w:vAlign w:val="center"/>
          </w:tcPr>
          <w:p w14:paraId="5643875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77AB02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390845D" w14:textId="77777777" w:rsidTr="0045477A">
        <w:tc>
          <w:tcPr>
            <w:tcW w:w="4364" w:type="dxa"/>
            <w:shd w:val="clear" w:color="auto" w:fill="auto"/>
            <w:vAlign w:val="center"/>
          </w:tcPr>
          <w:p w14:paraId="796CE019"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883" w:type="dxa"/>
            <w:shd w:val="clear" w:color="auto" w:fill="auto"/>
            <w:vAlign w:val="center"/>
          </w:tcPr>
          <w:p w14:paraId="60DE267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4576F8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003597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3045D6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797F4B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A329F5A" w14:textId="53BD4D29" w:rsidR="00ED5AD5" w:rsidRPr="0045477A"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0318290C"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50EB73D2"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73C71D8C"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67ECF9A4" w14:textId="77777777" w:rsidTr="0045477A">
        <w:tc>
          <w:tcPr>
            <w:tcW w:w="4376" w:type="dxa"/>
            <w:shd w:val="clear" w:color="auto" w:fill="auto"/>
            <w:vAlign w:val="center"/>
          </w:tcPr>
          <w:p w14:paraId="38C58809"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14:paraId="0D0084A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22AA5AF" w14:textId="77777777" w:rsidTr="0045477A">
        <w:tc>
          <w:tcPr>
            <w:tcW w:w="4376" w:type="dxa"/>
            <w:shd w:val="clear" w:color="auto" w:fill="auto"/>
            <w:vAlign w:val="center"/>
          </w:tcPr>
          <w:p w14:paraId="0931EAAA"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14:paraId="5B0426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493ED1D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14:paraId="0A05B5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1823BF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2E7BE5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4601DA" w14:textId="77777777" w:rsidR="0045477A" w:rsidRPr="00033902" w:rsidRDefault="0045477A" w:rsidP="0045477A">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Pr>
          <w:rFonts w:ascii="Times New Roman" w:eastAsia="Times New Roman" w:hAnsi="Times New Roman"/>
          <w:noProof/>
          <w:color w:val="000000"/>
          <w:sz w:val="20"/>
          <w:szCs w:val="20"/>
        </w:rPr>
        <w:t>Veri Bulunmamaktadır.</w:t>
      </w:r>
    </w:p>
    <w:p w14:paraId="192312BA"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02C7F"/>
    <w:rsid w:val="000F3319"/>
    <w:rsid w:val="00134CEE"/>
    <w:rsid w:val="001C3D8C"/>
    <w:rsid w:val="00294035"/>
    <w:rsid w:val="002B061D"/>
    <w:rsid w:val="0045477A"/>
    <w:rsid w:val="004B1F4F"/>
    <w:rsid w:val="004F450D"/>
    <w:rsid w:val="0058249A"/>
    <w:rsid w:val="0069443C"/>
    <w:rsid w:val="007679F3"/>
    <w:rsid w:val="008B78F8"/>
    <w:rsid w:val="008D0E01"/>
    <w:rsid w:val="008D0E6F"/>
    <w:rsid w:val="00A75A2D"/>
    <w:rsid w:val="00B44923"/>
    <w:rsid w:val="00B90545"/>
    <w:rsid w:val="00E97A62"/>
    <w:rsid w:val="00ED5AD5"/>
    <w:rsid w:val="00ED74E0"/>
    <w:rsid w:val="00F451AB"/>
    <w:rsid w:val="00F71CD9"/>
    <w:rsid w:val="00F75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CE44"/>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2C7F"/>
    <w:rPr>
      <w:color w:val="0563C1" w:themeColor="hyperlink"/>
      <w:u w:val="single"/>
    </w:rPr>
  </w:style>
  <w:style w:type="character" w:styleId="zmlenmeyenBahsetme">
    <w:name w:val="Unresolved Mention"/>
    <w:basedOn w:val="VarsaylanParagrafYazTipi"/>
    <w:uiPriority w:val="99"/>
    <w:semiHidden/>
    <w:unhideWhenUsed/>
    <w:rsid w:val="0013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iibf/bilisimsistemleri" TargetMode="External"/><Relationship Id="rId13" Type="http://schemas.openxmlformats.org/officeDocument/2006/relationships/hyperlink" Target="https://www.mevzuat.gov.tr/mevzuat?MevzuatNo=9392&amp;MevzuatTur=8&amp;MevzuatTertip=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u.edu.tr/iibf/sayfa/organizasyon-semasi" TargetMode="External"/><Relationship Id="rId12" Type="http://schemas.openxmlformats.org/officeDocument/2006/relationships/hyperlink" Target="https://www.mevzuat.gov.tr/mevzuat?MevzuatNo=9392&amp;MevzuatTur=8&amp;MevzuatTertip=5" TargetMode="External"/><Relationship Id="rId17" Type="http://schemas.openxmlformats.org/officeDocument/2006/relationships/hyperlink" Target="https://d.docs.live.net/cfcdf5c8045eacfe/Belgeler/Akademik%20De&#287;erlendirme%20Ayr&#305;nt&#305;l&#305;%20&#214;rnek%20Puan%20Tablosu" TargetMode="External"/><Relationship Id="rId2" Type="http://schemas.openxmlformats.org/officeDocument/2006/relationships/settings" Target="settings.xml"/><Relationship Id="rId16" Type="http://schemas.openxmlformats.org/officeDocument/2006/relationships/hyperlink" Target="https://d.docs.live.net/cfcdf5c8045eacfe/Belgeler/&#214;&#287;retim%20&#220;yesi%20D&#305;&#351;&#305;ndaki%20&#214;&#287;retim%20Eleman&#305;%20Kadrolar&#305;na%20Atanan%20Akademik%20Personelin" TargetMode="External"/><Relationship Id="rId1" Type="http://schemas.openxmlformats.org/officeDocument/2006/relationships/styles" Target="styles.xml"/><Relationship Id="rId6" Type="http://schemas.openxmlformats.org/officeDocument/2006/relationships/hyperlink" Target="https://www.ohu.edu.tr/iibf/sayfa/is-akis-surecleri" TargetMode="External"/><Relationship Id="rId11" Type="http://schemas.openxmlformats.org/officeDocument/2006/relationships/hyperlink" Target="https://static.ohu.edu.tr/uniweb/media/portallar/oidb/sayfalar/2957/yo0tspj3.pdf" TargetMode="External"/><Relationship Id="rId5" Type="http://schemas.openxmlformats.org/officeDocument/2006/relationships/hyperlink" Target="https://www.ohu.edu.tr/iibf/sayfa/gorev-tanimlari" TargetMode="External"/><Relationship Id="rId15" Type="http://schemas.openxmlformats.org/officeDocument/2006/relationships/hyperlink" Target="https://d.docs.live.net/cfcdf5c8045eacfe/Belgeler/&#220;yelik%20y&#252;kseltme%20ve%20atanma%20y&#246;nergesi" TargetMode="External"/><Relationship Id="rId10" Type="http://schemas.openxmlformats.org/officeDocument/2006/relationships/hyperlink" Target="https://www.ohu.edu.tr/uluslararasi/sayfa/erasmus-yonergesi"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ohu.edu.tr/uluslararasi/sayfa/genel-bilgiler" TargetMode="External"/><Relationship Id="rId14" Type="http://schemas.openxmlformats.org/officeDocument/2006/relationships/hyperlink" Target="https://www.mevzuat.gov.tr/mevzuat?MevzuatNo=24672&amp;MevzuatTur=7&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3989</Words>
  <Characters>22742</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ELİF KANAL</cp:lastModifiedBy>
  <cp:revision>5</cp:revision>
  <dcterms:created xsi:type="dcterms:W3CDTF">2024-01-11T07:45:00Z</dcterms:created>
  <dcterms:modified xsi:type="dcterms:W3CDTF">2025-01-08T10:54:00Z</dcterms:modified>
</cp:coreProperties>
</file>